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A25" w:rsidP="00A449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заочное решение не вступило в законную силу</w:t>
      </w: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6A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0E6A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0E6A2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октября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Севастополь</w:t>
      </w: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6A25" w:rsidRPr="002503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И.о. мирового 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</w:t>
      </w:r>
      <w:r w:rsidRPr="0025038F">
        <w:rPr>
          <w:rFonts w:ascii="Times New Roman" w:eastAsia="Times New Roman" w:hAnsi="Times New Roman" w:cs="Times New Roman"/>
          <w:sz w:val="28"/>
          <w:szCs w:val="28"/>
        </w:rPr>
        <w:t xml:space="preserve">Севастополя Киселева В.В., </w:t>
      </w:r>
    </w:p>
    <w:p w:rsidR="000E6A25" w:rsidRPr="002503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38F"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Котюк В.И.,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Котовой Анны Дмитриевны к индивидуальному предпринимателю Борисовой Тамаре Владимировне,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третье лицо, не заявляющее самостоятельных требований на предмет спора – Межрегиональное управление Роспотребнадзора по Республике Крым и городу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>, о защите прав потребителей,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194-198, 233-235 ГПК РФ,      </w:t>
      </w: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6A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удовлетворить частично.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Борисовой Тамары Владимировны</w:t>
      </w:r>
      <w:r w:rsidR="00250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49FA"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0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пользу Котовой </w:t>
      </w:r>
      <w:r>
        <w:rPr>
          <w:rFonts w:ascii="Times New Roman" w:eastAsia="Times New Roman" w:hAnsi="Times New Roman" w:cs="Times New Roman"/>
          <w:sz w:val="28"/>
          <w:szCs w:val="28"/>
        </w:rPr>
        <w:t>Анны Дмитриевны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49FA"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) сумму оплаты за некачественный товар в размере 15 800,00 рублей, разницу между ценой, оплаченной покупателем на дату покупки и ценой на день удовлетворения исковых требований в размер 5 200,00 рублей, расходы на доставку товара в размере 140,00 рублей, </w:t>
      </w:r>
      <w:r>
        <w:rPr>
          <w:rFonts w:ascii="Times New Roman" w:hAnsi="Times New Roman"/>
          <w:sz w:val="28"/>
          <w:szCs w:val="26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экспертизы в размере 5 000,00 рублей, </w:t>
      </w:r>
      <w:r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штраф за отказ в добровольном порядке удовлетворить требования потребителя в размере 10 570,00 рублей, а всего – 36 710,00 рублей.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В удовлетворении требования о взыскании понесенных расходов, связанных с оформлением нотариально удостоверенной доверенности – отказать.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Борисовой Тамары Владимировны</w:t>
      </w:r>
      <w:r w:rsidR="00250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49FA"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0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доход бюджета города Севастополя государственную пошлину в размере 834,20 рублей.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 ч.ч. 4, 5 ст. 199 ГПК РФ,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9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E6A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9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6A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 Киселева</w:t>
      </w:r>
    </w:p>
    <w:sectPr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25"/>
    <w:rsid w:val="0004471F"/>
    <w:rsid w:val="000E6A25"/>
    <w:rsid w:val="0025038F"/>
    <w:rsid w:val="005D669E"/>
    <w:rsid w:val="00A449FA"/>
    <w:rsid w:val="00DA3BE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8CD53-BBEE-4318-A13F-9F837BD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DefaultParagraphFon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