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E77" w:rsidRPr="00966E77" w:rsidP="00D23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="00D237B7">
        <w:rPr>
          <w:rFonts w:ascii="Times New Roman" w:eastAsia="Times New Roman" w:hAnsi="Times New Roman" w:cs="Times New Roman"/>
          <w:sz w:val="28"/>
          <w:szCs w:val="28"/>
        </w:rPr>
        <w:t>заочное решение не вступило в законную силу</w:t>
      </w:r>
    </w:p>
    <w:p w:rsidR="00C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F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ЗАОЧНОЕ РЕШЕНИЕ</w:t>
      </w:r>
    </w:p>
    <w:p w:rsidR="00CF049A">
      <w:pPr>
        <w:pStyle w:val="Title"/>
        <w:ind w:left="-426" w:right="45" w:firstLine="539"/>
        <w:rPr>
          <w:sz w:val="28"/>
        </w:rPr>
      </w:pPr>
      <w:r>
        <w:rPr>
          <w:sz w:val="28"/>
          <w:szCs w:val="24"/>
        </w:rPr>
        <w:t>ИМЕНЕМ РОССИЙСКОЙ ФЕДЕРАЦИИ</w:t>
      </w:r>
    </w:p>
    <w:p w:rsidR="00CF049A">
      <w:pPr>
        <w:pStyle w:val="Title"/>
        <w:ind w:left="-426" w:right="-1" w:firstLine="539"/>
        <w:rPr>
          <w:sz w:val="28"/>
        </w:rPr>
      </w:pPr>
      <w:r>
        <w:rPr>
          <w:b w:val="0"/>
          <w:sz w:val="28"/>
          <w:szCs w:val="24"/>
        </w:rPr>
        <w:t>(резолютивная часть)</w:t>
      </w:r>
    </w:p>
    <w:p w:rsidR="00CF04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04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565BF">
        <w:rPr>
          <w:rFonts w:ascii="Times New Roman" w:eastAsia="Times New Roman" w:hAnsi="Times New Roman" w:cs="Times New Roman"/>
          <w:sz w:val="28"/>
          <w:szCs w:val="28"/>
          <w:lang w:bidi="ru-RU"/>
        </w:rPr>
        <w:t>19</w:t>
      </w:r>
      <w:r w:rsidRPr="00A565BF"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565BF" w:rsidR="00966E77">
        <w:rPr>
          <w:rFonts w:ascii="Times New Roman" w:eastAsia="Times New Roman" w:hAnsi="Times New Roman" w:cs="Times New Roman"/>
          <w:sz w:val="28"/>
          <w:szCs w:val="28"/>
          <w:lang w:bidi="ru-RU"/>
        </w:rPr>
        <w:t>сентября</w:t>
      </w:r>
      <w:r w:rsidRPr="00A565BF"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A565BF"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0443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CF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966E77" w:rsidRPr="00A565BF" w:rsidP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77"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9 Гагаринского судебного района города </w:t>
      </w:r>
      <w:r w:rsidRPr="00A565BF">
        <w:rPr>
          <w:rFonts w:ascii="Times New Roman" w:eastAsia="Times New Roman" w:hAnsi="Times New Roman" w:cs="Times New Roman"/>
          <w:sz w:val="28"/>
          <w:szCs w:val="28"/>
        </w:rPr>
        <w:t xml:space="preserve">Севастополя – мировой судья судебного участка № 7 Гагаринского судебного района города Севастополя Киселева В.В., </w:t>
      </w:r>
    </w:p>
    <w:p w:rsidR="00CF049A" w:rsidRPr="00A565BF" w:rsidP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BF"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Котюк В.И.,</w:t>
      </w:r>
    </w:p>
    <w:p w:rsidR="00CF049A" w:rsidRPr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B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Отделения Фонда пенсионного и социального </w:t>
      </w:r>
      <w:r w:rsidRPr="00966E77">
        <w:rPr>
          <w:rFonts w:ascii="Times New Roman" w:eastAsia="Times New Roman" w:hAnsi="Times New Roman" w:cs="Times New Roman"/>
          <w:sz w:val="28"/>
          <w:szCs w:val="28"/>
        </w:rPr>
        <w:t>страхования Российской Федерации по г. Севастополю к Месечко Галине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E77">
        <w:rPr>
          <w:rFonts w:ascii="Times New Roman" w:eastAsia="Times New Roman" w:hAnsi="Times New Roman" w:cs="Times New Roman"/>
          <w:sz w:val="28"/>
          <w:szCs w:val="28"/>
        </w:rPr>
        <w:t>доровне о взыскании излишне выплаченных сумм ежемесячной компенсационной выплаты</w:t>
      </w:r>
      <w:r w:rsidRPr="00966E77" w:rsidR="0080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194-199, 233-235 ГПК РФ,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CF04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CF04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CF04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66E77" w:rsidRPr="00966E77" w:rsidP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E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 удовлетворить.</w:t>
      </w:r>
    </w:p>
    <w:p w:rsidR="00966E77" w:rsidRPr="00966E77" w:rsidP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966E77">
        <w:rPr>
          <w:rFonts w:ascii="Times New Roman" w:eastAsia="Times New Roman" w:hAnsi="Times New Roman" w:cs="Times New Roman"/>
          <w:sz w:val="28"/>
          <w:szCs w:val="28"/>
        </w:rPr>
        <w:t>Месечко Галины Федоровны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(данные изъяты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56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пользу Отделения Фонда пенсионного и социального страхования Российской Федерации по г. Севастополю сумму излишне выплаченн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ежемесячн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компенсационн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период с 01.03.2023 по 30.09.2023 в размере 8 400,00 рублей. </w:t>
      </w:r>
    </w:p>
    <w:p w:rsidR="00CF049A" w:rsidRPr="00966E77" w:rsidP="00966E7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966E77">
        <w:rPr>
          <w:rFonts w:ascii="Times New Roman" w:eastAsia="Times New Roman" w:hAnsi="Times New Roman" w:cs="Times New Roman"/>
          <w:sz w:val="28"/>
          <w:szCs w:val="28"/>
        </w:rPr>
        <w:t>Месечко Галины Федоровны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(данные изъяты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56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доход бюджета города Севастополя государственную пошлину в размере 400,00 рублей.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Ответчик вправе подать мировому судье судебного участка № </w:t>
      </w:r>
      <w:r w:rsidR="00966E77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F04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</w:t>
      </w:r>
      <w:r w:rsidR="00966E77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F049A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CF049A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Мировой судья</w:t>
      </w:r>
      <w:r w:rsidR="00966E77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</w:r>
      <w:r w:rsidR="00966E77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В.В. Киселева</w:t>
      </w:r>
    </w:p>
    <w:p w:rsidR="00CF049A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9A"/>
    <w:rsid w:val="00174F55"/>
    <w:rsid w:val="001D1EB8"/>
    <w:rsid w:val="00237BB5"/>
    <w:rsid w:val="00317E3B"/>
    <w:rsid w:val="00351B90"/>
    <w:rsid w:val="00804437"/>
    <w:rsid w:val="00966E77"/>
    <w:rsid w:val="00A565BF"/>
    <w:rsid w:val="00CF049A"/>
    <w:rsid w:val="00D237B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282F2F-B956-4775-BAB9-0CB2D8C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Title"/>
    <w:uiPriority w:val="99"/>
    <w:unhideWhenUsed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283"/>
      <w:jc w:val="left"/>
    </w:pPr>
    <w:rPr>
      <w:rFonts w:ascii="Calibri" w:hAnsi="Calibri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