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205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УИД: 92MS0007-01-2024-002294-60</w:t>
      </w:r>
    </w:p>
    <w:p w:rsidR="00935205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2-1166/7/2024</w:t>
      </w:r>
    </w:p>
    <w:p w:rsidR="00935205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93520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935205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935205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935205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935205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06 ноября 2024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г. Севастополь</w:t>
      </w:r>
    </w:p>
    <w:p w:rsidR="0093520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520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7 Гагаринского судебного района города Севастополя Киселева В.В., </w:t>
      </w:r>
    </w:p>
    <w:p w:rsidR="0093520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секретаре судебного заседания Бондарь В.В.,</w:t>
      </w:r>
    </w:p>
    <w:p w:rsidR="0093520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иску государственного унитарного предприятия города Севастополя «Водоканал» к Стеценко А</w:t>
      </w:r>
      <w:r w:rsidR="00231D6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С</w:t>
      </w:r>
      <w:r w:rsidR="00231D6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оплате за услуги водоснабжения и водоотведения, пени, судебных расходов, </w:t>
      </w:r>
    </w:p>
    <w:p w:rsidR="0093520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статьями 194-199 ГПК РФ, </w:t>
      </w:r>
      <w:r>
        <w:rPr>
          <w:rFonts w:ascii="Times New Roman" w:eastAsia="Times New Roman" w:hAnsi="Times New Roman" w:cs="Times New Roman"/>
          <w:sz w:val="26"/>
          <w:szCs w:val="26"/>
        </w:rPr>
        <w:t>статьей 333 ГК РФ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3520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93520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93520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935205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Исковые требования государственного унитарного предприятия города Севастополя «Водоканал», с учетом уточненных исковых требований,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удовлетворить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частично.</w:t>
      </w:r>
    </w:p>
    <w:p w:rsidR="0093520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Взыскать в пользу государственного унитарного предприятия города Севастополя «Водоканал» (ИНН 9204507194, КПП 920401001, ОГРН 1149204066307) с Стеценко А</w:t>
      </w:r>
      <w:r w:rsidR="00231D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="00231D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231D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рождения (паспорт серия </w:t>
      </w:r>
      <w:r w:rsidR="00231D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пеню за период с 03.10.2022 по 23.10.2024 в размере </w:t>
      </w:r>
      <w:r w:rsidRPr="00DD7E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DD7E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DD7E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рублей, почтовые расходы в размере </w:t>
      </w:r>
      <w:r w:rsidRPr="00DD7E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DD7E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53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рублей, а также расходы по оплате госпошлины в размере 4 000,00 рублей, всего – </w:t>
      </w:r>
      <w:r w:rsidRPr="00DD7E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D7E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010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(пять</w:t>
      </w:r>
      <w:r w:rsidRPr="00DD7E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тысяч десять) рублей, </w:t>
      </w:r>
      <w:r w:rsidRPr="00DD7E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53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копее</w:t>
      </w:r>
      <w:r>
        <w:rPr>
          <w:rFonts w:ascii="Times New Roman" w:hAnsi="Times New Roman" w:cs="Times New Roman"/>
          <w:sz w:val="26"/>
          <w:szCs w:val="26"/>
        </w:rPr>
        <w:t>к.</w:t>
      </w:r>
    </w:p>
    <w:p w:rsidR="00935205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остальной части исковых требований отказать.</w:t>
      </w:r>
    </w:p>
    <w:p w:rsidR="00935205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35205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Гагаринский районный суд города Севастополя в течение месяца со дня принятия решения суда в окончательной форме путем подачи апелляционной жалобы через мирового судью судебного участка №7 Гагаринского судебного района города Севастополя.</w:t>
      </w:r>
    </w:p>
    <w:p w:rsidR="0093520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3520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В.В. Киселева</w:t>
      </w:r>
    </w:p>
    <w:sect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E94D82"/>
    <w:multiLevelType w:val="hybridMultilevel"/>
    <w:tmpl w:val="860287DC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F6E10"/>
    <w:multiLevelType w:val="hybridMultilevel"/>
    <w:tmpl w:val="57B2CE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05"/>
    <w:rsid w:val="00215D6A"/>
    <w:rsid w:val="00231D69"/>
    <w:rsid w:val="00935205"/>
    <w:rsid w:val="00D033A5"/>
    <w:rsid w:val="00DD7E1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255D9C-BD3E-46B4-85AD-32B7D0C8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SubtitleChar">
    <w:name w:val="Subtitle Char"/>
    <w:basedOn w:val="DefaultParagraphFon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uiPriority w:val="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uiPriority w:val="99"/>
    <w:semiHidden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