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4E8A" w:rsidRPr="00D65C2F">
      <w:pPr>
        <w:pStyle w:val="NoSpacing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5C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65C2F">
        <w:rPr>
          <w:rFonts w:ascii="Times New Roman" w:eastAsia="Times New Roman" w:hAnsi="Times New Roman" w:cs="Times New Roman"/>
          <w:sz w:val="28"/>
          <w:szCs w:val="28"/>
          <w:lang w:bidi="ru-RU"/>
        </w:rPr>
        <w:t>УИД: 92MS0007-01-2024-00</w:t>
      </w:r>
      <w:r w:rsidRPr="00D65C2F" w:rsidR="00D65C2F">
        <w:rPr>
          <w:rFonts w:ascii="Times New Roman" w:eastAsia="Times New Roman" w:hAnsi="Times New Roman" w:cs="Times New Roman"/>
          <w:sz w:val="28"/>
          <w:szCs w:val="28"/>
          <w:lang w:bidi="ru-RU"/>
        </w:rPr>
        <w:t>2190</w:t>
      </w:r>
      <w:r w:rsidRPr="00D65C2F">
        <w:rPr>
          <w:rFonts w:ascii="Times New Roman" w:eastAsia="Times New Roman" w:hAnsi="Times New Roman" w:cs="Times New Roman"/>
          <w:sz w:val="28"/>
          <w:szCs w:val="28"/>
          <w:lang w:bidi="ru-RU"/>
        </w:rPr>
        <w:t>-</w:t>
      </w:r>
      <w:r w:rsidRPr="00D65C2F" w:rsidR="00D65C2F">
        <w:rPr>
          <w:rFonts w:ascii="Times New Roman" w:eastAsia="Times New Roman" w:hAnsi="Times New Roman" w:cs="Times New Roman"/>
          <w:sz w:val="28"/>
          <w:szCs w:val="28"/>
          <w:lang w:bidi="ru-RU"/>
        </w:rPr>
        <w:t>81</w:t>
      </w:r>
    </w:p>
    <w:p w:rsidR="00744E8A" w:rsidRPr="00D65C2F">
      <w:pPr>
        <w:pStyle w:val="NoSpacing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5C2F">
        <w:rPr>
          <w:rFonts w:ascii="Times New Roman" w:eastAsia="Times New Roman" w:hAnsi="Times New Roman" w:cs="Times New Roman"/>
          <w:sz w:val="28"/>
          <w:szCs w:val="28"/>
          <w:lang w:bidi="ru-RU"/>
        </w:rPr>
        <w:t>Дело № 2-</w:t>
      </w:r>
      <w:r w:rsidRPr="00D65C2F" w:rsidR="00D65C2F">
        <w:rPr>
          <w:rFonts w:ascii="Times New Roman" w:eastAsia="Times New Roman" w:hAnsi="Times New Roman" w:cs="Times New Roman"/>
          <w:sz w:val="28"/>
          <w:szCs w:val="28"/>
          <w:lang w:bidi="ru-RU"/>
        </w:rPr>
        <w:t>1129</w:t>
      </w:r>
      <w:r w:rsidRPr="00D65C2F">
        <w:rPr>
          <w:rFonts w:ascii="Times New Roman" w:eastAsia="Times New Roman" w:hAnsi="Times New Roman" w:cs="Times New Roman"/>
          <w:sz w:val="28"/>
          <w:szCs w:val="28"/>
          <w:lang w:bidi="ru-RU"/>
        </w:rPr>
        <w:t>/7/2024</w:t>
      </w:r>
    </w:p>
    <w:p w:rsidR="00744E8A" w:rsidRPr="00D65C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4E8A" w:rsidRPr="00D65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5C2F">
        <w:rPr>
          <w:rFonts w:ascii="Times New Roman" w:eastAsia="Times New Roman" w:hAnsi="Times New Roman" w:cs="Times New Roman"/>
          <w:b/>
          <w:sz w:val="28"/>
          <w:szCs w:val="28"/>
        </w:rPr>
        <w:t xml:space="preserve"> ЗАОЧНОЕ РЕШЕНИЕ</w:t>
      </w:r>
    </w:p>
    <w:p w:rsidR="00744E8A" w:rsidRPr="00D65C2F">
      <w:pPr>
        <w:pStyle w:val="Title"/>
        <w:ind w:left="-426" w:right="45" w:firstLine="539"/>
        <w:rPr>
          <w:sz w:val="28"/>
          <w:szCs w:val="28"/>
        </w:rPr>
      </w:pPr>
      <w:r w:rsidRPr="00D65C2F">
        <w:rPr>
          <w:sz w:val="28"/>
          <w:szCs w:val="28"/>
        </w:rPr>
        <w:t>ИМЕНЕМ РОССИЙСКОЙ ФЕДЕРАЦИИ</w:t>
      </w:r>
    </w:p>
    <w:p w:rsidR="00744E8A" w:rsidRPr="00D65C2F">
      <w:pPr>
        <w:pStyle w:val="Title"/>
        <w:ind w:left="-426" w:right="-1" w:firstLine="539"/>
        <w:rPr>
          <w:sz w:val="28"/>
          <w:szCs w:val="28"/>
        </w:rPr>
      </w:pPr>
      <w:r w:rsidRPr="00D65C2F">
        <w:rPr>
          <w:b w:val="0"/>
          <w:sz w:val="28"/>
          <w:szCs w:val="28"/>
        </w:rPr>
        <w:t>(резолютивная часть)</w:t>
      </w:r>
    </w:p>
    <w:p w:rsidR="00744E8A" w:rsidRPr="00B57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E8A" w:rsidRPr="00B57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726C">
        <w:rPr>
          <w:rFonts w:ascii="Times New Roman" w:eastAsia="Times New Roman" w:hAnsi="Times New Roman" w:cs="Times New Roman"/>
          <w:sz w:val="28"/>
          <w:szCs w:val="28"/>
          <w:lang w:bidi="ru-RU"/>
        </w:rPr>
        <w:t>24</w:t>
      </w:r>
      <w:r w:rsidRPr="00B5726C" w:rsidR="002A2AD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5726C" w:rsidR="00D65C2F">
        <w:rPr>
          <w:rFonts w:ascii="Times New Roman" w:eastAsia="Times New Roman" w:hAnsi="Times New Roman" w:cs="Times New Roman"/>
          <w:sz w:val="28"/>
          <w:szCs w:val="28"/>
          <w:lang w:bidi="ru-RU"/>
        </w:rPr>
        <w:t>октября</w:t>
      </w:r>
      <w:r w:rsidRPr="00B5726C" w:rsidR="002A2AD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2024 года</w:t>
      </w:r>
      <w:r w:rsidRPr="00B5726C" w:rsidR="002A2AD5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B5726C" w:rsidR="002A2AD5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B5726C" w:rsidR="002A2AD5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B5726C" w:rsidR="002A2AD5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B5726C" w:rsidR="002A2AD5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B5726C" w:rsidR="002A2AD5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B5726C" w:rsidR="002A2AD5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 xml:space="preserve">       г. Севастополь</w:t>
      </w:r>
    </w:p>
    <w:p w:rsidR="00744E8A" w:rsidRPr="00B57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26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</w:p>
    <w:p w:rsidR="00744E8A" w:rsidRPr="00B5726C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26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7 Гагаринского судебного района города Севастополя Киселева В.В., </w:t>
      </w:r>
    </w:p>
    <w:p w:rsidR="00744E8A" w:rsidRPr="00D65C2F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C2F">
        <w:rPr>
          <w:rFonts w:ascii="Times New Roman" w:eastAsia="Times New Roman" w:hAnsi="Times New Roman" w:cs="Times New Roman"/>
          <w:sz w:val="28"/>
          <w:szCs w:val="28"/>
        </w:rPr>
        <w:t>при секретаре судебного заседания Бондарь В.В.,</w:t>
      </w:r>
    </w:p>
    <w:p w:rsidR="00744E8A" w:rsidRPr="00D65C2F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C2F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Некоммерческой организации «Фонд содействия капитальному ремонту города Севастополя» к наследникам </w:t>
      </w:r>
      <w:r w:rsidRPr="00D65C2F" w:rsidR="00D65C2F">
        <w:rPr>
          <w:rFonts w:ascii="Times New Roman" w:eastAsia="Times New Roman" w:hAnsi="Times New Roman" w:cs="Times New Roman"/>
          <w:sz w:val="28"/>
          <w:szCs w:val="28"/>
        </w:rPr>
        <w:t>Галицкого Е</w:t>
      </w:r>
      <w:r w:rsidR="0075146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5C2F" w:rsidR="00D65C2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5146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65C2F">
        <w:rPr>
          <w:rFonts w:ascii="Times New Roman" w:eastAsia="Times New Roman" w:hAnsi="Times New Roman" w:cs="Times New Roman"/>
          <w:sz w:val="28"/>
          <w:szCs w:val="28"/>
        </w:rPr>
        <w:t xml:space="preserve">о взыскании солидарно с круга лиц собственников в праве собственности на жилое помещение возникшей задолженности у наследников, после принятия наследства, по оплате взносов на капитальный ремонт общего имущества многоквартирного дома, пени за несвоевременную оплату взносов, а также расходов по оплате государственной пошлины,    </w:t>
      </w:r>
    </w:p>
    <w:p w:rsidR="00744E8A" w:rsidRPr="00D65C2F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C2F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194-199, 233-235 ГПК РФ,     </w:t>
      </w:r>
    </w:p>
    <w:p w:rsidR="00744E8A" w:rsidRPr="00D65C2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E8A" w:rsidRPr="00D65C2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5C2F">
        <w:rPr>
          <w:rFonts w:ascii="Times New Roman" w:eastAsia="Times New Roman" w:hAnsi="Times New Roman" w:cs="Times New Roman"/>
          <w:b/>
          <w:sz w:val="28"/>
          <w:szCs w:val="28"/>
        </w:rPr>
        <w:t>Р Е Ш И Л:</w:t>
      </w:r>
    </w:p>
    <w:p w:rsidR="00744E8A" w:rsidRPr="00D65C2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4E8A" w:rsidRPr="00D65C2F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C2F"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 w:rsidR="00744E8A" w:rsidRPr="00D65C2F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C2F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D65C2F" w:rsidR="00D65C2F">
        <w:rPr>
          <w:rFonts w:ascii="Times New Roman" w:eastAsia="Times New Roman" w:hAnsi="Times New Roman" w:cs="Times New Roman"/>
          <w:sz w:val="28"/>
          <w:szCs w:val="28"/>
        </w:rPr>
        <w:t>Галицкого В</w:t>
      </w:r>
      <w:r w:rsidR="0075146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5C2F" w:rsidR="00D65C2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5146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5C2F">
        <w:rPr>
          <w:rFonts w:ascii="Times New Roman" w:hAnsi="Times New Roman" w:cs="Times New Roman"/>
          <w:sz w:val="28"/>
          <w:szCs w:val="28"/>
        </w:rPr>
        <w:t xml:space="preserve">, </w:t>
      </w:r>
      <w:r w:rsidR="0075146C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D65C2F">
        <w:rPr>
          <w:rFonts w:ascii="Times New Roman" w:eastAsia="Times New Roman" w:hAnsi="Times New Roman" w:cs="Times New Roman"/>
          <w:sz w:val="28"/>
          <w:szCs w:val="28"/>
        </w:rPr>
        <w:t xml:space="preserve"> г.р. (паспорт </w:t>
      </w:r>
      <w:r w:rsidR="0075146C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D65C2F">
        <w:rPr>
          <w:rFonts w:ascii="Times New Roman" w:eastAsia="Times New Roman" w:hAnsi="Times New Roman" w:cs="Times New Roman"/>
          <w:sz w:val="28"/>
          <w:szCs w:val="28"/>
        </w:rPr>
        <w:t>)</w:t>
      </w:r>
      <w:r w:rsidR="00B5726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65C2F">
        <w:rPr>
          <w:rFonts w:ascii="Times New Roman" w:eastAsia="Times New Roman" w:hAnsi="Times New Roman" w:cs="Times New Roman"/>
          <w:sz w:val="28"/>
          <w:szCs w:val="28"/>
        </w:rPr>
        <w:t xml:space="preserve"> в пользу Некоммерческой организации «Фонд содействия капитальному ремонту города Севастополя» (ИНН 9204020259, КПП 920101001, ОГРН 1149204042591) задолженность по оплате взносов на к</w:t>
      </w:r>
      <w:r w:rsidRPr="00D65C2F" w:rsidR="00D65C2F">
        <w:rPr>
          <w:rFonts w:ascii="Times New Roman" w:eastAsia="Times New Roman" w:hAnsi="Times New Roman" w:cs="Times New Roman"/>
          <w:sz w:val="28"/>
          <w:szCs w:val="28"/>
        </w:rPr>
        <w:t>апитальный ремонт за период с 08</w:t>
      </w:r>
      <w:r w:rsidRPr="00D65C2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5C2F" w:rsidR="00D65C2F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D65C2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5C2F" w:rsidR="00D65C2F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D65C2F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D65C2F" w:rsidR="00D65C2F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D65C2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5C2F" w:rsidR="00D65C2F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D65C2F">
        <w:rPr>
          <w:rFonts w:ascii="Times New Roman" w:eastAsia="Times New Roman" w:hAnsi="Times New Roman" w:cs="Times New Roman"/>
          <w:sz w:val="28"/>
          <w:szCs w:val="28"/>
        </w:rPr>
        <w:t xml:space="preserve">.2024 в размере </w:t>
      </w:r>
      <w:r w:rsidRPr="00D65C2F" w:rsidR="00D65C2F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D65C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C2F" w:rsidR="00D65C2F">
        <w:rPr>
          <w:rFonts w:ascii="Times New Roman" w:eastAsia="Times New Roman" w:hAnsi="Times New Roman" w:cs="Times New Roman"/>
          <w:sz w:val="28"/>
          <w:szCs w:val="28"/>
        </w:rPr>
        <w:t>873</w:t>
      </w:r>
      <w:r w:rsidRPr="00D65C2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65C2F" w:rsidR="00D65C2F">
        <w:rPr>
          <w:rFonts w:ascii="Times New Roman" w:eastAsia="Times New Roman" w:hAnsi="Times New Roman" w:cs="Times New Roman"/>
          <w:sz w:val="28"/>
          <w:szCs w:val="28"/>
        </w:rPr>
        <w:t>95</w:t>
      </w:r>
      <w:r w:rsidRPr="00D65C2F">
        <w:rPr>
          <w:rFonts w:ascii="Times New Roman" w:eastAsia="Times New Roman" w:hAnsi="Times New Roman" w:cs="Times New Roman"/>
          <w:sz w:val="28"/>
          <w:szCs w:val="28"/>
        </w:rPr>
        <w:t xml:space="preserve"> рублей, пеню за несвоевременную оплату взносов за период с </w:t>
      </w:r>
      <w:r w:rsidRPr="00D65C2F" w:rsidR="00D65C2F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D65C2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5C2F" w:rsidR="00D65C2F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D65C2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5C2F" w:rsidR="00D65C2F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D65C2F">
        <w:rPr>
          <w:rFonts w:ascii="Times New Roman" w:eastAsia="Times New Roman" w:hAnsi="Times New Roman" w:cs="Times New Roman"/>
          <w:sz w:val="28"/>
          <w:szCs w:val="28"/>
        </w:rPr>
        <w:t xml:space="preserve"> по 01.</w:t>
      </w:r>
      <w:r w:rsidRPr="00D65C2F" w:rsidR="00D65C2F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D65C2F">
        <w:rPr>
          <w:rFonts w:ascii="Times New Roman" w:eastAsia="Times New Roman" w:hAnsi="Times New Roman" w:cs="Times New Roman"/>
          <w:sz w:val="28"/>
          <w:szCs w:val="28"/>
        </w:rPr>
        <w:t xml:space="preserve">.2024 в размере </w:t>
      </w:r>
      <w:r w:rsidRPr="00D65C2F" w:rsidR="00D65C2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5C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C2F" w:rsidR="00D65C2F">
        <w:rPr>
          <w:rFonts w:ascii="Times New Roman" w:eastAsia="Times New Roman" w:hAnsi="Times New Roman" w:cs="Times New Roman"/>
          <w:sz w:val="28"/>
          <w:szCs w:val="28"/>
        </w:rPr>
        <w:t>815</w:t>
      </w:r>
      <w:r w:rsidRPr="00D65C2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65C2F" w:rsidR="00D65C2F">
        <w:rPr>
          <w:rFonts w:ascii="Times New Roman" w:eastAsia="Times New Roman" w:hAnsi="Times New Roman" w:cs="Times New Roman"/>
          <w:sz w:val="28"/>
          <w:szCs w:val="28"/>
        </w:rPr>
        <w:t>92</w:t>
      </w:r>
      <w:r w:rsidRPr="00D65C2F">
        <w:rPr>
          <w:rFonts w:ascii="Times New Roman" w:eastAsia="Times New Roman" w:hAnsi="Times New Roman" w:cs="Times New Roman"/>
          <w:sz w:val="28"/>
          <w:szCs w:val="28"/>
        </w:rPr>
        <w:t xml:space="preserve"> рублей, судебные расходы по оплате государственной пошлины в размере </w:t>
      </w:r>
      <w:r w:rsidRPr="00D65C2F" w:rsidR="00D65C2F">
        <w:rPr>
          <w:rFonts w:ascii="Times New Roman" w:eastAsia="Times New Roman" w:hAnsi="Times New Roman" w:cs="Times New Roman"/>
          <w:sz w:val="28"/>
          <w:szCs w:val="28"/>
        </w:rPr>
        <w:t>638,58</w:t>
      </w:r>
      <w:r w:rsidRPr="00D65C2F">
        <w:rPr>
          <w:rFonts w:ascii="Times New Roman" w:eastAsia="Times New Roman" w:hAnsi="Times New Roman" w:cs="Times New Roman"/>
          <w:sz w:val="28"/>
          <w:szCs w:val="28"/>
        </w:rPr>
        <w:t xml:space="preserve"> рублей, всего – </w:t>
      </w:r>
      <w:r w:rsidRPr="00D65C2F" w:rsidR="00D65C2F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D65C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C2F" w:rsidR="00D65C2F">
        <w:rPr>
          <w:rFonts w:ascii="Times New Roman" w:eastAsia="Times New Roman" w:hAnsi="Times New Roman" w:cs="Times New Roman"/>
          <w:sz w:val="28"/>
          <w:szCs w:val="28"/>
        </w:rPr>
        <w:t>328</w:t>
      </w:r>
      <w:r w:rsidRPr="00D65C2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65C2F" w:rsidR="00D65C2F">
        <w:rPr>
          <w:rFonts w:ascii="Times New Roman" w:eastAsia="Times New Roman" w:hAnsi="Times New Roman" w:cs="Times New Roman"/>
          <w:sz w:val="28"/>
          <w:szCs w:val="28"/>
        </w:rPr>
        <w:t>шестнадцать тысяч триста двадцать восемь</w:t>
      </w:r>
      <w:r w:rsidRPr="00D65C2F">
        <w:rPr>
          <w:rFonts w:ascii="Times New Roman" w:eastAsia="Times New Roman" w:hAnsi="Times New Roman" w:cs="Times New Roman"/>
          <w:sz w:val="28"/>
          <w:szCs w:val="28"/>
        </w:rPr>
        <w:t xml:space="preserve">) рублей, </w:t>
      </w:r>
      <w:r w:rsidRPr="00D65C2F" w:rsidR="00D65C2F"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D65C2F">
        <w:rPr>
          <w:rFonts w:ascii="Times New Roman" w:eastAsia="Times New Roman" w:hAnsi="Times New Roman" w:cs="Times New Roman"/>
          <w:sz w:val="28"/>
          <w:szCs w:val="28"/>
        </w:rPr>
        <w:t xml:space="preserve"> копеек.</w:t>
      </w:r>
    </w:p>
    <w:p w:rsidR="00744E8A" w:rsidRPr="00D65C2F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C2F">
        <w:rPr>
          <w:rFonts w:ascii="Times New Roman" w:eastAsia="Times New Roman" w:hAnsi="Times New Roman" w:cs="Times New Roman"/>
          <w:sz w:val="28"/>
          <w:szCs w:val="28"/>
        </w:rPr>
        <w:t xml:space="preserve">Разъяснить сторонам, что в соответствии с ч.ч. 4, 5 </w:t>
      </w:r>
      <w:hyperlink r:id="rId4" w:tooltip="https://rospravosudie.com/law/Статья_199_ГПК_РФ" w:history="1">
        <w:r w:rsidRPr="00D65C2F">
          <w:rPr>
            <w:rFonts w:ascii="Times New Roman" w:eastAsia="Times New Roman" w:hAnsi="Times New Roman" w:cs="Times New Roman"/>
            <w:sz w:val="28"/>
            <w:szCs w:val="28"/>
          </w:rPr>
          <w:t>ст. 199 ГПК РФ</w:t>
        </w:r>
      </w:hyperlink>
      <w:r w:rsidRPr="00D65C2F"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</w:p>
    <w:p w:rsidR="00744E8A" w:rsidRPr="00D65C2F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C2F">
        <w:rPr>
          <w:rFonts w:ascii="Times New Roman" w:eastAsia="Times New Roman" w:hAnsi="Times New Roman" w:cs="Times New Roman"/>
          <w:sz w:val="28"/>
          <w:szCs w:val="28"/>
        </w:rPr>
        <w:t xml:space="preserve"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744E8A" w:rsidRPr="00D65C2F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C2F">
        <w:rPr>
          <w:rFonts w:ascii="Times New Roman" w:eastAsia="Times New Roman" w:hAnsi="Times New Roman" w:cs="Times New Roman"/>
          <w:sz w:val="28"/>
          <w:szCs w:val="28"/>
        </w:rPr>
        <w:t xml:space="preserve"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744E8A" w:rsidRPr="00D65C2F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C2F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744E8A" w:rsidRPr="00D65C2F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C2F">
        <w:rPr>
          <w:rFonts w:ascii="Times New Roman" w:eastAsia="Times New Roman" w:hAnsi="Times New Roman" w:cs="Times New Roman"/>
          <w:sz w:val="28"/>
          <w:szCs w:val="28"/>
        </w:rPr>
        <w:t>Ответчик вправе подать мировому судье судебного участка № 7 Гагаринского судебного района г. Севастополя заявление об отмене этого решения суда в течение семи дней со дня вручения ему копии этого решения.</w:t>
      </w:r>
    </w:p>
    <w:p w:rsidR="00744E8A" w:rsidRPr="00D65C2F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C2F"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44E8A" w:rsidRPr="00D65C2F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C2F"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Гагаринский районный суд г. Севастополя путем подачи жалобы мировому судье судебного участка № 7 Гагаринского судебного района г. Севастополя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44E8A" w:rsidRPr="00D65C2F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4E8A" w:rsidRPr="00D65C2F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C2F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</w:t>
      </w:r>
      <w:r w:rsidRPr="00D65C2F">
        <w:rPr>
          <w:rFonts w:ascii="Times New Roman" w:eastAsia="Times New Roman" w:hAnsi="Times New Roman" w:cs="Times New Roman"/>
          <w:sz w:val="28"/>
          <w:szCs w:val="28"/>
        </w:rPr>
        <w:tab/>
      </w:r>
      <w:r w:rsidRPr="00D65C2F">
        <w:rPr>
          <w:rFonts w:ascii="Times New Roman" w:eastAsia="Times New Roman" w:hAnsi="Times New Roman" w:cs="Times New Roman"/>
          <w:sz w:val="28"/>
          <w:szCs w:val="28"/>
        </w:rPr>
        <w:tab/>
      </w:r>
      <w:r w:rsidRPr="00D65C2F">
        <w:rPr>
          <w:rFonts w:ascii="Times New Roman" w:eastAsia="Times New Roman" w:hAnsi="Times New Roman" w:cs="Times New Roman"/>
          <w:sz w:val="28"/>
          <w:szCs w:val="28"/>
        </w:rPr>
        <w:tab/>
      </w:r>
      <w:r w:rsidRPr="00D65C2F">
        <w:rPr>
          <w:rFonts w:ascii="Times New Roman" w:eastAsia="Times New Roman" w:hAnsi="Times New Roman" w:cs="Times New Roman"/>
          <w:sz w:val="28"/>
          <w:szCs w:val="28"/>
        </w:rPr>
        <w:tab/>
      </w:r>
      <w:r w:rsidRPr="00D65C2F">
        <w:rPr>
          <w:rFonts w:ascii="Times New Roman" w:eastAsia="Times New Roman" w:hAnsi="Times New Roman" w:cs="Times New Roman"/>
          <w:sz w:val="28"/>
          <w:szCs w:val="28"/>
        </w:rPr>
        <w:tab/>
      </w:r>
      <w:r w:rsidRPr="00D65C2F">
        <w:rPr>
          <w:rFonts w:ascii="Times New Roman" w:eastAsia="Times New Roman" w:hAnsi="Times New Roman" w:cs="Times New Roman"/>
          <w:sz w:val="28"/>
          <w:szCs w:val="28"/>
        </w:rPr>
        <w:tab/>
      </w:r>
      <w:r w:rsidRPr="00D65C2F" w:rsidR="00D65C2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D65C2F">
        <w:rPr>
          <w:rFonts w:ascii="Times New Roman" w:eastAsia="Times New Roman" w:hAnsi="Times New Roman" w:cs="Times New Roman"/>
          <w:sz w:val="28"/>
          <w:szCs w:val="28"/>
        </w:rPr>
        <w:t>В.В. Киселева</w:t>
      </w:r>
    </w:p>
    <w:p w:rsidR="00744E8A" w:rsidRPr="00D65C2F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44E8A" w:rsidRPr="00D65C2F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44E8A" w:rsidRPr="00D65C2F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44E8A" w:rsidRPr="00D65C2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E8A" w:rsidRPr="00D65C2F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sectPr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1C005C6"/>
    <w:multiLevelType w:val="hybridMultilevel"/>
    <w:tmpl w:val="6666BB4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15405"/>
    <w:multiLevelType w:val="hybridMultilevel"/>
    <w:tmpl w:val="1A463C3E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8A"/>
    <w:rsid w:val="000A1588"/>
    <w:rsid w:val="002A2AD5"/>
    <w:rsid w:val="00626330"/>
    <w:rsid w:val="00744E8A"/>
    <w:rsid w:val="0075146C"/>
    <w:rsid w:val="007611F8"/>
    <w:rsid w:val="00850484"/>
    <w:rsid w:val="00B5726C"/>
    <w:rsid w:val="00BD476B"/>
    <w:rsid w:val="00D65C2F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583E89E-8AAE-4FED-92DA-DCF25044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3"/>
    <w:qFormat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a"/>
    <w:uiPriority w:val="11"/>
    <w:qFormat/>
    <w:pPr>
      <w:spacing w:before="200"/>
    </w:pPr>
    <w:rPr>
      <w:sz w:val="24"/>
      <w:szCs w:val="24"/>
    </w:rPr>
  </w:style>
  <w:style w:type="character" w:customStyle="1" w:styleId="a">
    <w:name w:val="Подзаголовок Знак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a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0">
    <w:name w:val="Выделенная цитата Знак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link w:val="a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1">
    <w:name w:val="Нижний колонтитул Знак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tblPr/>
      <w:tcPr>
        <w:shd w:val="clear" w:color="F2F2F2" w:fill="F2F2F2" w:themeColor="text1" w:themeTint="0D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Color="text1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Color="accent1" w:themeTint="EA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Color="accent3" w:themeTint="FE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Color="accent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Color="accent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Color="text1" w:themeTint="40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Color="text1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band1Vert">
      <w:tblPr/>
      <w:tcPr>
        <w:shd w:val="clear" w:color="8A8A8A" w:fill="8A8A8A" w:themeColor="text1" w:themeTint="75" w:themeFill="text1" w:themeFillTint="75"/>
      </w:tcPr>
    </w:tblStylePr>
    <w:tblStylePr w:type="band1Horz">
      <w:tblPr/>
      <w:tcPr>
        <w:shd w:val="clear" w:color="8A8A8A" w:fill="8A8A8A" w:themeColor="text1" w:themeTint="75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Color="accent1" w:themeTint="3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Color="accent1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band1Vert">
      <w:tblPr/>
      <w:tcPr>
        <w:shd w:val="clear" w:color="AEC4E0" w:fill="AEC4E0" w:themeColor="accent1" w:themeTint="75" w:themeFill="accent1" w:themeFillTint="75"/>
      </w:tcPr>
    </w:tblStylePr>
    <w:tblStylePr w:type="band1Horz">
      <w:tblPr/>
      <w:tcPr>
        <w:shd w:val="clear" w:color="AEC4E0" w:fill="AEC4E0" w:themeColor="accent1" w:themeTint="75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Color="accent2" w:themeTint="32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Color="accent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band1Vert">
      <w:tblPr/>
      <w:tcPr>
        <w:shd w:val="clear" w:color="E2AEAD" w:fill="E2AEAD" w:themeColor="accent2" w:themeTint="75" w:themeFill="accent2" w:themeFillTint="75"/>
      </w:tcPr>
    </w:tblStylePr>
    <w:tblStylePr w:type="band1Horz">
      <w:tblPr/>
      <w:tcPr>
        <w:shd w:val="clear" w:color="E2AEAD" w:fill="E2AEAD" w:themeColor="accent2" w:themeTint="75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Color="accent3" w:themeTint="34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Color="accent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band1Vert">
      <w:tblPr/>
      <w:tcPr>
        <w:shd w:val="clear" w:color="D0DFB2" w:fill="D0DFB2" w:themeColor="accent3" w:themeTint="75" w:themeFill="accent3" w:themeFillTint="75"/>
      </w:tcPr>
    </w:tblStylePr>
    <w:tblStylePr w:type="band1Horz">
      <w:tblPr/>
      <w:tcPr>
        <w:shd w:val="clear" w:color="D0DFB2" w:fill="D0DFB2" w:themeColor="accent3" w:themeTint="7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Color="accent4" w:themeTint="34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Color="accent4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band1Vert">
      <w:tblPr/>
      <w:tcPr>
        <w:shd w:val="clear" w:color="C4B7D4" w:fill="C4B7D4" w:themeColor="accent4" w:themeTint="75" w:themeFill="accent4" w:themeFillTint="75"/>
      </w:tcPr>
    </w:tblStylePr>
    <w:tblStylePr w:type="band1Horz">
      <w:tblPr/>
      <w:tcPr>
        <w:shd w:val="clear" w:color="C4B7D4" w:fill="C4B7D4" w:themeColor="accent4" w:themeTint="75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Color="accent5" w:themeTint="34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Color="accent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band1Vert">
      <w:tblPr/>
      <w:tcPr>
        <w:shd w:val="clear" w:color="ACD8E4" w:fill="ACD8E4" w:themeColor="accent5" w:themeTint="75" w:themeFill="accent5" w:themeFillTint="75"/>
      </w:tcPr>
    </w:tblStylePr>
    <w:tblStylePr w:type="band1Horz">
      <w:tblPr/>
      <w:tcPr>
        <w:shd w:val="clear" w:color="ACD8E4" w:fill="ACD8E4" w:themeColor="accent5" w:themeTint="75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Color="accent6" w:themeTint="34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Color="accent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band1Vert">
      <w:tblPr/>
      <w:tcPr>
        <w:shd w:val="clear" w:color="FBCEAA" w:fill="FBCEAA" w:themeColor="accent6" w:themeTint="75" w:themeFill="accent6" w:themeFillTint="75"/>
      </w:tcPr>
    </w:tblStylePr>
    <w:tblStylePr w:type="band1Horz">
      <w:tblPr/>
      <w:tcPr>
        <w:shd w:val="clear" w:color="FBCEAA" w:fill="FBCEAA" w:themeColor="accent6" w:themeTint="75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Shade="95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Shade="95" w:themeTint="FE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Shade="95" w:themeTint="FE"/>
      </w:rPr>
    </w:tblStylePr>
    <w:tblStylePr w:type="firstCol">
      <w:rPr>
        <w:b/>
        <w:color w:val="9ABB59" w:themeColor="accent3" w:themeShade="95" w:themeTint="FE"/>
      </w:rPr>
    </w:tblStylePr>
    <w:tblStylePr w:type="lastCol">
      <w:rPr>
        <w:b/>
        <w:color w:val="9ABB59" w:themeColor="accent3" w:themeShade="95" w:themeTint="FE"/>
      </w:r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tblPr/>
      <w:tcPr>
        <w:shd w:val="clear" w:color="FDE4D0" w:fill="FDE4D0" w:themeColor="accent6" w:themeTint="40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Color="accent3" w:themeTint="98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Color="accent5" w:themeTint="9A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Color="accent6" w:themeTint="98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Color="text1" w:themeTint="80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Color="accent1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Color="accent1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Color="accent2" w:themeTint="97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Color="accent3" w:themeTint="98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Color="accent4" w:themeTint="9A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Color="accent5" w:themeTint="9A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Color="accent6" w:themeTint="98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Shade="95" w:themeTint="98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Shade="95" w:themeTint="98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Shade="95" w:themeTint="98"/>
      </w:rPr>
    </w:tblStylePr>
    <w:tblStylePr w:type="lastCol">
      <w:rPr>
        <w:b/>
        <w:color w:val="C3D69B" w:themeColor="accent3" w:themeShade="95" w:themeTint="98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Shade="95" w:themeTint="9A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Shade="95" w:themeTint="9A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Shade="95" w:themeTint="98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Shade="95" w:themeTint="98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a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2">
    <w:name w:val="Текст сноски Знак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a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3">
    <w:name w:val="Текст концевой сноски Знак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Title">
    <w:name w:val="Title"/>
    <w:basedOn w:val="Normal"/>
    <w:link w:val="a4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DefaultParagraphFont"/>
    <w:link w:val="Title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DefaultParagraphFont"/>
    <w:link w:val="BodyText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Normal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3 Знак"/>
    <w:basedOn w:val="DefaultParagraphFont"/>
    <w:link w:val="Heading3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taj">
    <w:name w:val="taj"/>
  </w:style>
  <w:style w:type="character" w:customStyle="1" w:styleId="hps">
    <w:name w:val="hps"/>
  </w:style>
  <w:style w:type="paragraph" w:styleId="NormalWeb">
    <w:name w:val="Normal (Web)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199_&#1043;&#1055;&#1050;_&#1056;&#1060;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