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4BA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92MS0007-01-2024-001524-42</w:t>
      </w:r>
    </w:p>
    <w:p w:rsidR="003714BA">
      <w:pPr>
        <w:pStyle w:val="NoSpacing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2-1041/7/2024</w:t>
      </w:r>
    </w:p>
    <w:p w:rsidR="00371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1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ЗАОЧНОЕ РЕШЕНИЕ</w:t>
      </w:r>
    </w:p>
    <w:p w:rsidR="003714BA">
      <w:pPr>
        <w:pStyle w:val="Title"/>
        <w:ind w:left="-426" w:right="45" w:firstLine="539"/>
        <w:rPr>
          <w:sz w:val="28"/>
        </w:rPr>
      </w:pPr>
      <w:r>
        <w:rPr>
          <w:sz w:val="28"/>
          <w:szCs w:val="24"/>
        </w:rPr>
        <w:t>ИМЕНЕМ РОССИЙСКОЙ ФЕДЕРАЦИИ</w:t>
      </w:r>
    </w:p>
    <w:p w:rsidR="003714BA">
      <w:pPr>
        <w:pStyle w:val="Title"/>
        <w:ind w:left="-426" w:right="-1" w:firstLine="539"/>
        <w:rPr>
          <w:sz w:val="28"/>
        </w:rPr>
      </w:pPr>
      <w:r>
        <w:rPr>
          <w:b w:val="0"/>
          <w:sz w:val="28"/>
          <w:szCs w:val="24"/>
        </w:rPr>
        <w:t>(резолютивная часть)</w:t>
      </w:r>
    </w:p>
    <w:p w:rsidR="0037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714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22B09">
        <w:rPr>
          <w:rFonts w:ascii="Times New Roman" w:eastAsia="Times New Roman" w:hAnsi="Times New Roman" w:cs="Times New Roman"/>
          <w:sz w:val="28"/>
          <w:szCs w:val="28"/>
          <w:lang w:bidi="ru-RU"/>
        </w:rPr>
        <w:t>08 октября 2024 года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371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 секретаре судебного заседания Бондарь В.В.,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рассмотрев в открытом судебном заседании гражданское дело по иску Некоммерческой организации «Фонд содействия капитальному ремонту города Севастополя» к наследникам Зиновьевой Т</w:t>
      </w:r>
      <w:r w:rsidR="00525CA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Г</w:t>
      </w:r>
      <w:r w:rsidR="00525CA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 взыскании солидарно с круга лиц собственников в праве собственности на жилое помещение возникшей задолженности у наследников, после принятия наследства, по оплате взносов на капитальный ремонт общего имущества многоквартирного дома, пени за несвоевременную оплату взносов, а также расходов по оплате государственной пошлины,   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194-199, 233-235 ГПК РФ,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3714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3714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3714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 удовлетворить.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Взыскать Панченко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525C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C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5CA8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</w:rPr>
        <w:t xml:space="preserve"> (паспорт </w:t>
      </w:r>
      <w:r w:rsidR="00525CA8">
        <w:rPr>
          <w:rFonts w:ascii="Times New Roman" w:eastAsia="Times New Roman" w:hAnsi="Times New Roman" w:cs="Times New Roman"/>
          <w:sz w:val="28"/>
        </w:rPr>
        <w:t>номер</w:t>
      </w:r>
      <w:r>
        <w:rPr>
          <w:rFonts w:ascii="Times New Roman" w:eastAsia="Times New Roman" w:hAnsi="Times New Roman" w:cs="Times New Roman"/>
          <w:sz w:val="28"/>
        </w:rPr>
        <w:t>) в пользу Некоммерческой организации «Фонд содействия капитальному ремонту города Севастополя» (ИНН 9204020259, КПП 920101001, ОГРН 1149204042591) задолженность по оплате взносов на капитальный ремонт за период с 01.09.2016 по 30.04.2024 в размере 30 244,48 рублей, пеню за несвоевременную оплату взносов за период с 11.10.2016 по 01.05.2024 в размере 8 333,16 рублей, судебные расходы по оплате государственной пошлины в размере 1 357,33 рублей, всего – 39 934 (тридцать девять тысяч девятьсот тридцать четыре) рублей, 97 копеек.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714B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714BA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3714BA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Мир</w:t>
      </w:r>
      <w:r w:rsidR="00B22B09">
        <w:rPr>
          <w:rFonts w:ascii="Times New Roman" w:eastAsia="Times New Roman" w:hAnsi="Times New Roman" w:cs="Times New Roman"/>
          <w:sz w:val="28"/>
          <w:szCs w:val="24"/>
        </w:rPr>
        <w:t xml:space="preserve">овой судья               </w:t>
      </w:r>
      <w:r w:rsidR="00B22B09">
        <w:rPr>
          <w:rFonts w:ascii="Times New Roman" w:eastAsia="Times New Roman" w:hAnsi="Times New Roman" w:cs="Times New Roman"/>
          <w:sz w:val="28"/>
          <w:szCs w:val="24"/>
        </w:rPr>
        <w:tab/>
      </w:r>
      <w:r w:rsidR="00B22B09">
        <w:rPr>
          <w:rFonts w:ascii="Times New Roman" w:eastAsia="Times New Roman" w:hAnsi="Times New Roman" w:cs="Times New Roman"/>
          <w:sz w:val="28"/>
          <w:szCs w:val="24"/>
        </w:rPr>
        <w:tab/>
      </w:r>
      <w:r w:rsidR="00B22B09">
        <w:rPr>
          <w:rFonts w:ascii="Times New Roman" w:eastAsia="Times New Roman" w:hAnsi="Times New Roman" w:cs="Times New Roman"/>
          <w:sz w:val="28"/>
          <w:szCs w:val="24"/>
        </w:rPr>
        <w:tab/>
      </w:r>
      <w:r w:rsidR="00B22B09">
        <w:rPr>
          <w:rFonts w:ascii="Times New Roman" w:eastAsia="Times New Roman" w:hAnsi="Times New Roman" w:cs="Times New Roman"/>
          <w:sz w:val="28"/>
          <w:szCs w:val="24"/>
        </w:rPr>
        <w:tab/>
      </w:r>
      <w:r w:rsidR="00B22B0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В.В. Киселева</w:t>
      </w:r>
    </w:p>
    <w:p w:rsidR="003714BA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714BA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714BA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714B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714BA">
      <w:pPr>
        <w:rPr>
          <w:rFonts w:ascii="Times New Roman" w:eastAsia="Times New Roman" w:hAnsi="Times New Roman" w:cs="Times New Roman"/>
          <w:color w:val="FF0000"/>
          <w:sz w:val="28"/>
        </w:rPr>
      </w:pPr>
    </w:p>
    <w:sectPr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C81461"/>
    <w:multiLevelType w:val="multilevel"/>
    <w:tmpl w:val="049664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5FA"/>
    <w:multiLevelType w:val="multilevel"/>
    <w:tmpl w:val="827652A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BA"/>
    <w:rsid w:val="002E0A86"/>
    <w:rsid w:val="003714BA"/>
    <w:rsid w:val="004D2B35"/>
    <w:rsid w:val="00525CA8"/>
    <w:rsid w:val="00B22B09"/>
    <w:rsid w:val="00CC13C7"/>
    <w:rsid w:val="00CE7E8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EAD0C-7099-4C11-96CD-8611C9C6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