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2CE" w:rsidRPr="005C174D" w:rsidP="005C174D">
      <w:pPr>
        <w:pStyle w:val="Title"/>
        <w:tabs>
          <w:tab w:val="left" w:pos="0"/>
        </w:tabs>
        <w:ind w:firstLine="567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Дело № 02-0161/16/2017</w:t>
      </w: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DB3176" w:rsidRPr="005C174D" w:rsidP="005C174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24 мая 2017 года</w:t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5C174D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B3176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Ленинского судебного района города Севастополя судебного участка №16 - мировой судья </w:t>
      </w:r>
      <w:r w:rsidRPr="005C174D">
        <w:rPr>
          <w:rFonts w:ascii="Times New Roman" w:hAnsi="Times New Roman" w:cs="Times New Roman"/>
          <w:sz w:val="27"/>
          <w:szCs w:val="27"/>
        </w:rPr>
        <w:t>Ленинского судебного района города Севастополя судебного участка №11 Тесля Ю.В.,</w:t>
      </w:r>
    </w:p>
    <w:p w:rsidR="00DB3176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при секретаре Шеремет Е.А.,</w:t>
      </w:r>
    </w:p>
    <w:p w:rsidR="00DB3176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города Севастополя гражданское дело по исковому заявлению Потребительского кооператива рекреац</w:t>
      </w:r>
      <w:r w:rsidRPr="005C174D">
        <w:rPr>
          <w:rFonts w:ascii="Times New Roman" w:hAnsi="Times New Roman" w:cs="Times New Roman"/>
          <w:sz w:val="27"/>
          <w:szCs w:val="27"/>
        </w:rPr>
        <w:t xml:space="preserve">ионного назначения и любительского рыболовства «Дельфин» к Перепелица </w:t>
      </w:r>
      <w:r w:rsidR="005F745B">
        <w:rPr>
          <w:rFonts w:ascii="Times New Roman" w:hAnsi="Times New Roman" w:cs="Times New Roman"/>
          <w:sz w:val="27"/>
          <w:szCs w:val="27"/>
        </w:rPr>
        <w:t>Д.В.</w:t>
      </w:r>
      <w:r w:rsidRPr="005C174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членским и целевым взносам, взыскании процентов за пользование чужими денежными средствами,</w:t>
      </w: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  <w:t xml:space="preserve">    </w:t>
      </w: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E032CE" w:rsidRPr="005C174D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CE5A75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sz w:val="27"/>
          <w:szCs w:val="27"/>
        </w:rPr>
        <w:t xml:space="preserve">Потребительский </w:t>
      </w:r>
      <w:r w:rsidRPr="005C174D">
        <w:rPr>
          <w:sz w:val="27"/>
          <w:szCs w:val="27"/>
        </w:rPr>
        <w:t>кооператив рекреационного назначения и любительского рыболовства «Дельфин» обратился в суд с иско</w:t>
      </w:r>
      <w:r w:rsidRPr="005C174D">
        <w:rPr>
          <w:sz w:val="27"/>
          <w:szCs w:val="27"/>
        </w:rPr>
        <w:t>м</w:t>
      </w:r>
      <w:r w:rsidRPr="005C174D">
        <w:rPr>
          <w:sz w:val="27"/>
          <w:szCs w:val="27"/>
        </w:rPr>
        <w:t xml:space="preserve"> к Перепелица Д</w:t>
      </w:r>
      <w:r w:rsidRPr="005C174D">
        <w:rPr>
          <w:sz w:val="27"/>
          <w:szCs w:val="27"/>
        </w:rPr>
        <w:t>.</w:t>
      </w:r>
      <w:r w:rsidRPr="005C174D">
        <w:rPr>
          <w:sz w:val="27"/>
          <w:szCs w:val="27"/>
        </w:rPr>
        <w:t>В</w:t>
      </w:r>
      <w:r w:rsidRPr="005C174D">
        <w:rPr>
          <w:sz w:val="27"/>
          <w:szCs w:val="27"/>
        </w:rPr>
        <w:t>.</w:t>
      </w:r>
      <w:r w:rsidRPr="005C174D">
        <w:rPr>
          <w:sz w:val="27"/>
          <w:szCs w:val="27"/>
        </w:rPr>
        <w:t xml:space="preserve"> о взыскании задолженности по членским и целевым взносам</w:t>
      </w:r>
      <w:r w:rsidRPr="005C174D">
        <w:rPr>
          <w:sz w:val="27"/>
          <w:szCs w:val="27"/>
        </w:rPr>
        <w:t>, взыскании процентов за пользование чужими денежными средствами</w:t>
      </w:r>
      <w:r w:rsidRPr="005C174D">
        <w:rPr>
          <w:sz w:val="27"/>
          <w:szCs w:val="27"/>
        </w:rPr>
        <w:t>. В обосновании свои</w:t>
      </w:r>
      <w:r w:rsidRPr="005C174D">
        <w:rPr>
          <w:sz w:val="27"/>
          <w:szCs w:val="27"/>
        </w:rPr>
        <w:t>х требований указал, что ответчик</w:t>
      </w:r>
      <w:r w:rsidRPr="005C174D">
        <w:rPr>
          <w:sz w:val="27"/>
          <w:szCs w:val="27"/>
        </w:rPr>
        <w:t xml:space="preserve"> является членом кооператива и ему</w:t>
      </w:r>
      <w:r w:rsidRPr="005C174D">
        <w:rPr>
          <w:sz w:val="27"/>
          <w:szCs w:val="27"/>
        </w:rPr>
        <w:t xml:space="preserve"> в кооперативе принадлежит</w:t>
      </w:r>
      <w:r w:rsidRPr="005C174D">
        <w:rPr>
          <w:rStyle w:val="2Exact"/>
          <w:sz w:val="27"/>
          <w:szCs w:val="27"/>
        </w:rPr>
        <w:t xml:space="preserve"> </w:t>
      </w:r>
      <w:r w:rsidRPr="005C174D">
        <w:rPr>
          <w:rStyle w:val="2"/>
          <w:sz w:val="27"/>
          <w:szCs w:val="27"/>
        </w:rPr>
        <w:t xml:space="preserve">эллинг № </w:t>
      </w:r>
      <w:r w:rsidR="005F745B">
        <w:rPr>
          <w:rStyle w:val="2"/>
          <w:sz w:val="27"/>
          <w:szCs w:val="27"/>
        </w:rPr>
        <w:t>***</w:t>
      </w:r>
      <w:r w:rsidRPr="005C174D">
        <w:rPr>
          <w:rStyle w:val="2"/>
          <w:sz w:val="27"/>
          <w:szCs w:val="27"/>
        </w:rPr>
        <w:t xml:space="preserve"> в блоке № 3 общей площадью 54,1 кв. м. и гараж № </w:t>
      </w:r>
      <w:r w:rsidR="005F745B">
        <w:rPr>
          <w:rStyle w:val="2"/>
          <w:sz w:val="27"/>
          <w:szCs w:val="27"/>
        </w:rPr>
        <w:t>***</w:t>
      </w:r>
      <w:r w:rsidRPr="005C174D">
        <w:rPr>
          <w:rStyle w:val="2"/>
          <w:sz w:val="27"/>
          <w:szCs w:val="27"/>
        </w:rPr>
        <w:t xml:space="preserve"> в блоке № 3 общей площадью 18,3 кв. м.</w:t>
      </w:r>
      <w:r w:rsidRPr="005C174D">
        <w:rPr>
          <w:rStyle w:val="2"/>
          <w:sz w:val="27"/>
          <w:szCs w:val="27"/>
        </w:rPr>
        <w:t xml:space="preserve">, членские и целевые взносы не оплачивает, в связи с чем, </w:t>
      </w:r>
      <w:r w:rsidRPr="005C174D">
        <w:rPr>
          <w:rStyle w:val="2"/>
          <w:sz w:val="27"/>
          <w:szCs w:val="27"/>
        </w:rPr>
        <w:t>в период с 01 мая 2015 года 31 марта 2017 года образовалась задолженность</w:t>
      </w:r>
      <w:r w:rsidRPr="005C174D">
        <w:rPr>
          <w:rStyle w:val="2"/>
          <w:sz w:val="27"/>
          <w:szCs w:val="27"/>
        </w:rPr>
        <w:t>, которую истец просит взыскать в свою пользу.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Также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просит взыскать с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ответчик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процент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ы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за неправомерное пользование денежными средствами в соответствии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с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 ст. </w:t>
      </w:r>
      <w:r>
        <w:fldChar w:fldCharType="begin"/>
      </w:r>
      <w:r>
        <w:instrText xml:space="preserve"> HYPERLINK "http://sudact.ru/law/gk-rf-chast1/razdel-iii/podrazdel-1_1/glava-25/statia-395/?marker=fdoctlaw" \o "ГК РФ &gt;  Раздел III. Общая часть обязательственного права &gt; Подраздел 1. Общие положения об обязательствах &gt; Глава 25. Ответственность за нарушение обязательств &gt; Статья 395. Ответственность за неисполнение денежного обязательства" \t "_blank" </w:instrText>
      </w:r>
      <w:r>
        <w:fldChar w:fldCharType="separate"/>
      </w:r>
      <w:r w:rsidRPr="005C174D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395 ГК РФ</w:t>
      </w:r>
      <w:r>
        <w:fldChar w:fldCharType="end"/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. </w:t>
      </w:r>
    </w:p>
    <w:p w:rsidR="0045439E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Представитель истца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Сахарова С.В.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в судебном заседании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уточненные 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исковые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требования поддержала в полном объеме, по основаниям, изложенным в уточненном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исковом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з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аявлении, просила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исковые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требования удовлетворить,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взыскать с Перепелица Д.В.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в счет погашения задолженности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по членским взносам сумму в размере 29956,14 рублей, по целевым взносам - в размере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9070 рублей, проценты за пользование чужими денежными средствами за период с 01 мая 2015 года по </w:t>
      </w:r>
      <w:r>
        <w:rPr>
          <w:rFonts w:eastAsia="Times New Roman"/>
          <w:sz w:val="27"/>
          <w:szCs w:val="27"/>
          <w:shd w:val="clear" w:color="auto" w:fill="FFFFFF"/>
          <w:lang w:eastAsia="ru-RU"/>
        </w:rPr>
        <w:t>31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марта 2017 года в размере 6887,82 рублей.</w:t>
      </w:r>
    </w:p>
    <w:p w:rsidR="00185671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Представитель ответчика Казаков Д.В. исковые требования не признал,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по основаниям, изложенным в письменных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возраже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ния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х,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просил суд в удовлетворении исковых требований отказать.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Представитель ответчика также указал, что Перепелица Д.В. частично погасил образовавшуюся задолженность, данная сумма не была учтена истцом при начислении задолженности.</w:t>
      </w:r>
    </w:p>
    <w:p w:rsidR="00150A41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Исследовав материалы гр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ажданского дела, заслушав представителей истца и ответчика, мировой судья приходит к следующему.</w:t>
      </w:r>
    </w:p>
    <w:p w:rsidR="00282794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В соответствии со ст. 8 </w:t>
      </w:r>
      <w:r w:rsidRPr="005C174D">
        <w:rPr>
          <w:rFonts w:ascii="Times New Roman" w:hAnsi="Times New Roman" w:cs="Times New Roman"/>
          <w:sz w:val="27"/>
          <w:szCs w:val="27"/>
        </w:rPr>
        <w:t>ГК</w:t>
      </w:r>
      <w:r w:rsidRPr="005C174D">
        <w:rPr>
          <w:rFonts w:ascii="Times New Roman" w:hAnsi="Times New Roman" w:cs="Times New Roman"/>
          <w:sz w:val="27"/>
          <w:szCs w:val="27"/>
        </w:rPr>
        <w:t xml:space="preserve"> РФ гражданские права и обязанности возникают не только из договора, но и из других оснований, предусмотренных законом и иными правовыми актами, а также из действий граждан и юридических лиц.</w:t>
      </w:r>
    </w:p>
    <w:p w:rsidR="00715DEF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Согласно ст. ст. 210, 249 ГК РФ собственник несет бремя содержан</w:t>
      </w:r>
      <w:r w:rsidRPr="005C174D">
        <w:rPr>
          <w:rFonts w:ascii="Times New Roman" w:hAnsi="Times New Roman" w:cs="Times New Roman"/>
          <w:sz w:val="27"/>
          <w:szCs w:val="27"/>
        </w:rPr>
        <w:t>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C174D">
        <w:rPr>
          <w:rFonts w:ascii="Times New Roman" w:hAnsi="Times New Roman" w:cs="Times New Roman"/>
          <w:sz w:val="27"/>
          <w:szCs w:val="27"/>
        </w:rPr>
        <w:t xml:space="preserve">принадлежащего ему имущества, если иное не предусмотрено законом или </w:t>
      </w:r>
      <w:r w:rsidRPr="005C174D">
        <w:rPr>
          <w:rFonts w:ascii="Times New Roman" w:hAnsi="Times New Roman" w:cs="Times New Roman"/>
          <w:sz w:val="27"/>
          <w:szCs w:val="27"/>
        </w:rPr>
        <w:t>договором.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</w:t>
      </w:r>
      <w:r w:rsidRPr="005C174D">
        <w:rPr>
          <w:rFonts w:ascii="Times New Roman" w:hAnsi="Times New Roman" w:cs="Times New Roman"/>
          <w:sz w:val="27"/>
          <w:szCs w:val="27"/>
        </w:rPr>
        <w:t>одержанию и сохранению.</w:t>
      </w:r>
    </w:p>
    <w:p w:rsidR="00715DEF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В соответствии со ст. 12,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Правосудие по гражданским</w:t>
      </w:r>
      <w:r w:rsidRPr="005C174D">
        <w:rPr>
          <w:rFonts w:ascii="Times New Roman" w:hAnsi="Times New Roman" w:cs="Times New Roman"/>
          <w:sz w:val="27"/>
          <w:szCs w:val="27"/>
        </w:rPr>
        <w:t xml:space="preserve"> делам осуществляется на основе состязательности и равноправия сторон. </w:t>
      </w:r>
    </w:p>
    <w:p w:rsidR="00DA7109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Согласно ст. 116 ГК РФ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</w:t>
      </w:r>
      <w:r w:rsidRPr="005C174D">
        <w:rPr>
          <w:rFonts w:ascii="Times New Roman" w:hAnsi="Times New Roman" w:cs="Times New Roman"/>
          <w:sz w:val="27"/>
          <w:szCs w:val="27"/>
        </w:rPr>
        <w:t>стей участников, осуществляемое путем объединения его членами имущественных паевых взносов.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взносов. В</w:t>
      </w:r>
      <w:r w:rsidRPr="005C174D">
        <w:rPr>
          <w:rFonts w:ascii="Times New Roman" w:hAnsi="Times New Roman" w:cs="Times New Roman"/>
          <w:sz w:val="27"/>
          <w:szCs w:val="27"/>
        </w:rPr>
        <w:t xml:space="preserve"> случае невыполнения этой обязанности кооператив может быть ликвидирован в судебном порядке по требованию кредиторов. Члены потребительского кооператива солидарно несут субсидиарную ответственность по его обязательствам в пределах невнесенной части дополни</w:t>
      </w:r>
      <w:r w:rsidRPr="005C174D">
        <w:rPr>
          <w:rFonts w:ascii="Times New Roman" w:hAnsi="Times New Roman" w:cs="Times New Roman"/>
          <w:sz w:val="27"/>
          <w:szCs w:val="27"/>
        </w:rPr>
        <w:t>тельного взноса каждого из членов кооператива. Доходы, полученные потребительским кооперативом от предпринимательской деятельности, осуществляемой кооперативом в соответствии с законом и уставом, распределяются между его членами. Правовое положение потреби</w:t>
      </w:r>
      <w:r w:rsidRPr="005C174D">
        <w:rPr>
          <w:rFonts w:ascii="Times New Roman" w:hAnsi="Times New Roman" w:cs="Times New Roman"/>
          <w:sz w:val="27"/>
          <w:szCs w:val="27"/>
        </w:rPr>
        <w:t xml:space="preserve">тельских кооперативов, а также права и обязанности их членов определяются в соответствии с настоящим Кодексом законами о потребительских кооперативах. </w:t>
      </w:r>
    </w:p>
    <w:p w:rsidR="005B64B9" w:rsidRPr="005C174D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соответствии с ч. 1, 2 ст. </w:t>
      </w:r>
      <w:r>
        <w:fldChar w:fldCharType="begin"/>
      </w:r>
      <w:r>
        <w:instrText xml:space="preserve"> HYPERLINK "http://sudact.ru/law/federalnyi-zakon-ot-08011998-n-7-fz-o/glava-i/statia-2/?marker=fdoctlaw" \o "Федеральный закон от 08.01.1998 N 7-ФЗ &gt; (ред. от 05.10.2015) &gt; " \t "_blank" </w:instrText>
      </w:r>
      <w:r>
        <w:fldChar w:fldCharType="separate"/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</w:t>
      </w:r>
      <w:r>
        <w:fldChar w:fldCharType="end"/>
      </w:r>
      <w:r w:rsidRPr="005C174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Фе</w:t>
      </w:r>
      <w:r w:rsidRPr="005C174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дерального закона от 12 января 1996 года № 7-ФЗ «О некоммерческих организациях» (с изменениями) (далее - Федеральный закон) некоммерческой организацией является организация, не имеющая извлечение прибыли в качестве основной цели своей деятельности и не рас</w:t>
      </w:r>
      <w:r w:rsidRPr="005C174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</w:t>
      </w:r>
      <w:r w:rsidRPr="005C174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</w:t>
      </w:r>
      <w:r w:rsidRPr="005C174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твенных благ.</w:t>
      </w:r>
      <w:r w:rsidRPr="005C174D">
        <w:rPr>
          <w:rFonts w:ascii="Times New Roman" w:hAnsi="Times New Roman" w:cs="Times New Roman"/>
          <w:sz w:val="27"/>
          <w:szCs w:val="27"/>
        </w:rPr>
        <w:t xml:space="preserve"> Согласно ст. 12 закона, пайщики потребительского общества обязаны соблюдать устав потребительского общества, выполнять решения общего собрания потребительского общества, других органов управления и органов контроля потребительского общества; </w:t>
      </w:r>
      <w:r w:rsidRPr="005C174D">
        <w:rPr>
          <w:rFonts w:ascii="Times New Roman" w:hAnsi="Times New Roman" w:cs="Times New Roman"/>
          <w:sz w:val="27"/>
          <w:szCs w:val="27"/>
        </w:rPr>
        <w:t xml:space="preserve">выполнять свои обязательства перед потребительским обществом по участию в его хозяйственной деятельности. </w:t>
      </w:r>
    </w:p>
    <w:p w:rsidR="00DA7109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7"/>
          <w:szCs w:val="27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Из материалов дела следует, что Потребительский кооператив рекреационного назначения и любительского рыболовства «Дельфин» </w:t>
      </w:r>
      <w:r w:rsidRPr="005C174D">
        <w:rPr>
          <w:sz w:val="27"/>
          <w:szCs w:val="27"/>
        </w:rPr>
        <w:t xml:space="preserve">зарегистрирован в </w:t>
      </w:r>
      <w:r>
        <w:rPr>
          <w:sz w:val="27"/>
          <w:szCs w:val="27"/>
        </w:rPr>
        <w:t>Е</w:t>
      </w:r>
      <w:r w:rsidRPr="005C174D">
        <w:rPr>
          <w:sz w:val="27"/>
          <w:szCs w:val="27"/>
        </w:rPr>
        <w:t>дином г</w:t>
      </w:r>
      <w:r w:rsidRPr="005C174D">
        <w:rPr>
          <w:sz w:val="27"/>
          <w:szCs w:val="27"/>
        </w:rPr>
        <w:t>осударственном реестре юридических лиц 06 ноября 2014 года.</w:t>
      </w:r>
    </w:p>
    <w:p w:rsidR="00631272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В соответствии с п.3.1 Устава основной целью Кооператива является удовлетворение потребностей членов Кооператива в приобретении, строительстве эл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л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ингов, рекреационных сооружений и их последующей эксплуатации (в том числе набережной и пляжа для оздоровления и отдыха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членов кооператива, проведения отпусков), организация и содержание базы-стоянки маломерных судов, создание условий для любительского и с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портивного рыболовства, отдыха на воде и оздоровительных водных видов спорта, индивидуального хранения личных маломерных судов. </w:t>
      </w:r>
    </w:p>
    <w:p w:rsidR="00631272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Согласно п. 4.3 Устава источниками формирования имущества кооператива в денежных и иных формах являются, в том числе вступитель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ные,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членские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, паевые, 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целевые взносы членов кооператива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.</w:t>
      </w:r>
    </w:p>
    <w:p w:rsidR="00631272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В соответствии с п. 6.5 Устава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члены кооператива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обязаны, в том числе, своевременно в установленных размерах вносить ежегодные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взносы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и другие платежи, установленные Общим собранием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,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в соответствии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с Уставом.</w:t>
      </w:r>
    </w:p>
    <w:p w:rsidR="00270E6C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Style w:val="2"/>
          <w:sz w:val="27"/>
          <w:szCs w:val="27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В судебном заседании установлено и не оспорено сторонами, что Перепелица Д.В. является </w:t>
      </w:r>
      <w:r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членом кооператива,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и ему принадлежит </w:t>
      </w:r>
      <w:r w:rsidRPr="005C174D">
        <w:rPr>
          <w:rStyle w:val="2"/>
          <w:sz w:val="27"/>
          <w:szCs w:val="27"/>
        </w:rPr>
        <w:t xml:space="preserve">эллинг № </w:t>
      </w:r>
      <w:r w:rsidR="005F745B">
        <w:rPr>
          <w:rStyle w:val="2"/>
          <w:sz w:val="27"/>
          <w:szCs w:val="27"/>
        </w:rPr>
        <w:t xml:space="preserve">*** </w:t>
      </w:r>
      <w:r w:rsidRPr="005C174D">
        <w:rPr>
          <w:rStyle w:val="2"/>
          <w:sz w:val="27"/>
          <w:szCs w:val="27"/>
        </w:rPr>
        <w:t>в блоке № 3 общей площадью 54,1 кв. м., эл</w:t>
      </w:r>
      <w:r w:rsidRPr="005C174D">
        <w:rPr>
          <w:rStyle w:val="2"/>
          <w:sz w:val="27"/>
          <w:szCs w:val="27"/>
        </w:rPr>
        <w:t>л</w:t>
      </w:r>
      <w:r w:rsidRPr="005C174D">
        <w:rPr>
          <w:rStyle w:val="2"/>
          <w:sz w:val="27"/>
          <w:szCs w:val="27"/>
        </w:rPr>
        <w:t xml:space="preserve">инг № </w:t>
      </w:r>
      <w:r w:rsidR="005F745B">
        <w:rPr>
          <w:rStyle w:val="2"/>
          <w:sz w:val="27"/>
          <w:szCs w:val="27"/>
        </w:rPr>
        <w:t>***</w:t>
      </w:r>
      <w:r w:rsidRPr="005C174D">
        <w:rPr>
          <w:rStyle w:val="2"/>
          <w:sz w:val="27"/>
          <w:szCs w:val="27"/>
        </w:rPr>
        <w:t xml:space="preserve"> в блоке № 3 общей площадью 18,3 кв. м.</w:t>
      </w:r>
    </w:p>
    <w:p w:rsidR="009448BE" w:rsidRPr="005C174D" w:rsidP="005C174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Согласно Проток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олу Общего собрания ПКРНЛР «Дельфин» №1 от 02 мая 2015 года утверждено внесение членского взноса на 2015-2016 г.г. в размере 17 рублей 34 коп. за 1 м2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имеющейся во владении недвижимости 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месяц.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Также определен разовый целевой взнос в размере 2700 рублей.</w:t>
      </w:r>
    </w:p>
    <w:p w:rsidR="009448BE" w:rsidRPr="005C174D" w:rsidP="005C174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Ответчиком не представлено доказательств тому, что решение Общего собрания членов от 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02 мая 2015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года было оспорено и отменено.</w:t>
      </w:r>
    </w:p>
    <w:p w:rsidR="0098503C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В нарушение требований Устава ПКРНЛР «Дельфин» Перепелица Д.В. не вносил членские и целевые взносы в полном объеме.</w:t>
      </w:r>
    </w:p>
    <w:p w:rsidR="00E27097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Согласно пре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дставленных в судебном заседании платежных поручений №№1,2,3 от 20 декабря 2016 года о внесении на счет </w:t>
      </w:r>
      <w:r w:rsidRPr="005C174D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ПКРНЛР «Дельфин» денежных средств (членские взносы за 1-ое полугодие 2016 года) в общей сумме 2000 рублей, з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адолженность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ответчика составляет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18275,74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руб., из которой </w:t>
      </w:r>
      <w:r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членский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 взнос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за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период с 02 мая 2015 года по 01 июля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2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016 года (период проведения Общего собрания членов кооператива)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–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15575,74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руб.,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задолженность по уплате целевого взноса за тот же период – 2700 рублей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.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A64B04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Доказательств отсутствия зад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олженности по оплате членских и целевых взносов либо неправомерного начисления истцом долга по оплате указанных взносов судье ответчиком представлено не было.</w:t>
      </w:r>
    </w:p>
    <w:p w:rsidR="00A64B04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При этом судом не может быть учтено платежное поручение №3 от 04 января 2017 года о внесении Пере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пелица Д.В. целевых взносов за 2015 год в размере 1000 рублей, поскольку в данном платежном поручении отсутствует указание о полугодии, за которое произведена оплата.</w:t>
      </w:r>
    </w:p>
    <w:p w:rsidR="001F6D7C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7"/>
          <w:szCs w:val="27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Доводы представителя ответчика о необходимости отказать в удовлетворении исковых требован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ий, поскольку отсутствует срок, к которому обязанность должна быть выполнена, не нашли своего подтверждения, поскольку </w:t>
      </w:r>
      <w:r w:rsidRPr="005C174D">
        <w:rPr>
          <w:sz w:val="27"/>
          <w:szCs w:val="27"/>
        </w:rPr>
        <w:t>из содержания вышеуказанного решения общего собрания членов кооператива следует, что оно устанавливает обязанности членов кооператива вно</w:t>
      </w:r>
      <w:r w:rsidRPr="005C174D">
        <w:rPr>
          <w:sz w:val="27"/>
          <w:szCs w:val="27"/>
        </w:rPr>
        <w:t xml:space="preserve">сить определенную этим решением сумму ежемесячно, начиная со времени проведения общего собрания, в том числе и в период с 02 мая 2015 года по 01 июля 2016 года, указанный истцом как период образования задолженности ответчика по оплате членских </w:t>
      </w:r>
      <w:r w:rsidRPr="005C174D">
        <w:rPr>
          <w:sz w:val="27"/>
          <w:szCs w:val="27"/>
        </w:rPr>
        <w:t xml:space="preserve">и целевых </w:t>
      </w:r>
      <w:r w:rsidRPr="005C174D">
        <w:rPr>
          <w:sz w:val="27"/>
          <w:szCs w:val="27"/>
        </w:rPr>
        <w:t>вз</w:t>
      </w:r>
      <w:r w:rsidRPr="005C174D">
        <w:rPr>
          <w:sz w:val="27"/>
          <w:szCs w:val="27"/>
        </w:rPr>
        <w:t>носов.</w:t>
      </w:r>
    </w:p>
    <w:p w:rsidR="001F6D7C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7"/>
          <w:szCs w:val="27"/>
        </w:rPr>
      </w:pPr>
      <w:r w:rsidRPr="005C174D">
        <w:rPr>
          <w:sz w:val="27"/>
          <w:szCs w:val="27"/>
        </w:rPr>
        <w:t>В тоже время, суд не может согласиться с требованиями истца в части взыскания задолженности по уплате членских и целевых взносов за период с 01 июля 2016 года по 31 марта 2017 года, по следующим основаниям.</w:t>
      </w:r>
    </w:p>
    <w:p w:rsidR="001F6D7C" w:rsidRPr="005C174D" w:rsidP="005C174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Согласно Протоколу Общего собрания ПКРНЛР 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«Дельфин» №1 от 02 июля 2016 года утверждено внесение членского взноса за период с 01 июля 2016 года по 30 июня 2017 года в сумме 19 рублей с квадратного метра для каждого члена кооператива, т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акже определен размер 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целев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ых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взнос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ов на период с 01 июля 2016 г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ода по 30 июня 2017 года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сумме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3550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рублей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целевые взносы на обустройство пожарного разворота в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сумме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1360 рублей, расширение дороги – 460 рублей, а также целевой добровольный взнос на детскую площадку в размере 1000 рублей</w:t>
      </w:r>
      <w:r w:rsidRPr="005C174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172EEB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7"/>
          <w:szCs w:val="27"/>
        </w:rPr>
      </w:pPr>
      <w:r w:rsidRPr="005C174D">
        <w:rPr>
          <w:sz w:val="27"/>
          <w:szCs w:val="27"/>
        </w:rPr>
        <w:t>При этом судом установлено,</w:t>
      </w:r>
      <w:r w:rsidRPr="005C174D">
        <w:rPr>
          <w:sz w:val="27"/>
          <w:szCs w:val="27"/>
        </w:rPr>
        <w:t xml:space="preserve"> что период, на который установлен размер членских и целевых взносов, не закончился на момент предъявления исковых требований, а о</w:t>
      </w:r>
      <w:r w:rsidRPr="005C174D">
        <w:rPr>
          <w:sz w:val="27"/>
          <w:szCs w:val="27"/>
        </w:rPr>
        <w:t xml:space="preserve">бязанность члена кооператива вносить членские взносы для использования их кооперативом в целях, предусмотренных уставом, сама </w:t>
      </w:r>
      <w:r w:rsidRPr="005C174D">
        <w:rPr>
          <w:sz w:val="27"/>
          <w:szCs w:val="27"/>
        </w:rPr>
        <w:t xml:space="preserve">по себе не указывает на возникновение у ответчика обязанности произвести оплату членских взносов за </w:t>
      </w:r>
      <w:r w:rsidRPr="005C174D">
        <w:rPr>
          <w:sz w:val="27"/>
          <w:szCs w:val="27"/>
        </w:rPr>
        <w:t xml:space="preserve">указанный </w:t>
      </w:r>
      <w:r w:rsidRPr="005C174D">
        <w:rPr>
          <w:sz w:val="27"/>
          <w:szCs w:val="27"/>
        </w:rPr>
        <w:t>период</w:t>
      </w:r>
      <w:r w:rsidRPr="005C174D">
        <w:rPr>
          <w:sz w:val="27"/>
          <w:szCs w:val="27"/>
        </w:rPr>
        <w:t xml:space="preserve">, </w:t>
      </w:r>
      <w:r w:rsidRPr="005C174D">
        <w:rPr>
          <w:sz w:val="27"/>
          <w:szCs w:val="27"/>
        </w:rPr>
        <w:t>в размере, определенном вышеуказанным общим собранием</w:t>
      </w:r>
      <w:r w:rsidRPr="005C174D">
        <w:rPr>
          <w:sz w:val="27"/>
          <w:szCs w:val="27"/>
        </w:rPr>
        <w:t>.</w:t>
      </w:r>
      <w:r w:rsidRPr="005C174D">
        <w:rPr>
          <w:sz w:val="27"/>
          <w:szCs w:val="27"/>
        </w:rPr>
        <w:t xml:space="preserve"> </w:t>
      </w:r>
      <w:r>
        <w:rPr>
          <w:sz w:val="27"/>
          <w:szCs w:val="27"/>
        </w:rPr>
        <w:t>Иные сроки ни Протоколом, ни Уставом не устанволены.</w:t>
      </w:r>
    </w:p>
    <w:p w:rsidR="000B796B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Анализируя представленные стор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онами доказательства, суд приходит к выводу, что исковые требования Потребительского кооператива рекреационного назначения и любительского рыболовства «Дельфин» к ответчику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о взыскании задолженности за период с 01 мая 2015 года по 30 июня 2016 года подлеж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ат удовлетворению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.</w:t>
      </w:r>
    </w:p>
    <w:p w:rsidR="000B796B" w:rsidRPr="005C174D" w:rsidP="00F24AA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Рассматривая исковые требования о взыскании процентов за пользование чужими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денежными средствами мировой судья приходит к следующему. </w:t>
      </w:r>
    </w:p>
    <w:p w:rsidR="000B796B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Согласно ст. </w:t>
      </w:r>
      <w:r>
        <w:fldChar w:fldCharType="begin"/>
      </w:r>
      <w:r>
        <w:instrText xml:space="preserve"> HYPERLINK "http://sudact.ru/law/gk-rf-chast1/razdel-iii/podrazdel-1_1/glava-25/statia-395/?marker=fdoctlaw" \o "ГК РФ &gt;  Раздел III. Общая часть обязательственного права &gt; Подраздел 1. Общие положения об обязательствах &gt; Глава 25. Ответственность за нарушение обязательств &gt; Статья 395. Ответственность за неисполнение денежного обязательства" \t "_blank" </w:instrText>
      </w:r>
      <w:r>
        <w:fldChar w:fldCharType="separate"/>
      </w:r>
      <w:r w:rsidRPr="005C174D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395 ГК РФ</w:t>
      </w:r>
      <w:r>
        <w:fldChar w:fldCharType="end"/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 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сумму этих средств. Размер процентов определяется существующими в месте жительства кредитора или, если кредитором является юридическое лицо, в месте его нахождения, опубликованными Банком России и имевшими место в соответствующие периоды средними ставками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банковского процента по вкладам физических лиц. Эти правила применяются, если иной размер процентов не установлен законом или договором.</w:t>
      </w:r>
    </w:p>
    <w:p w:rsidR="000B796B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Проценты за пользование чужими средствами взимаются по день уплаты суммы этих средств кредитору, если законом, иными п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равовыми актами или договором не установлен для начисления процентов более короткий срок.</w:t>
      </w:r>
    </w:p>
    <w:p w:rsidR="00F30726" w:rsidRPr="005C174D" w:rsidP="005C174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Представителем истца заявлены исковые требования о взыскании процентов за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пользование чужими денежными средствами по ст. </w:t>
      </w:r>
      <w:r>
        <w:fldChar w:fldCharType="begin"/>
      </w:r>
      <w:r>
        <w:instrText xml:space="preserve"> HYPERLINK "http://sudact.ru/law/gk-rf-chast1/razdel-iii/podrazdel-1_1/glava-25/statia-395/?marker=fdoctlaw" \o "ГК РФ &gt;  Раздел III. Общая часть обязательственного права &gt; Подраздел 1. Общие положения об обязательствах &gt; Глава 25. Ответственность за нарушение обязательств &gt; Статья 395. Ответственность за неисполнение денежного обязательства" \t "_blank" </w:instrText>
      </w:r>
      <w:r>
        <w:fldChar w:fldCharType="separate"/>
      </w:r>
      <w:r w:rsidRPr="005C174D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395 ГК РФ</w:t>
      </w:r>
      <w:r>
        <w:fldChar w:fldCharType="end"/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 за период с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01 мая 2015 года по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31 марта 2017 года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на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сумму задолженности по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оплате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членских и 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целевых взносов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за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период с 01 мая 2015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год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а по 31 марта 2017 года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в размере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39035,14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рублей, которые составили 6887,82 рубля.</w:t>
      </w:r>
    </w:p>
    <w:p w:rsidR="0009365F" w:rsidRPr="005C174D" w:rsidP="005C17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Между тем, ни Уставом кооператива, ни решениями общего собрания членов ПКРНЛР «Дельфин» сроки внесения членских и иных взносов не установлены.</w:t>
      </w:r>
    </w:p>
    <w:p w:rsidR="0009365F" w:rsidRPr="005C174D" w:rsidP="005C17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Из материалов дела следует, что ПКРНЛР «Дельфин» направляло в адрес Пере</w:t>
      </w:r>
      <w:r w:rsidRPr="005C174D">
        <w:rPr>
          <w:rFonts w:ascii="Times New Roman" w:hAnsi="Times New Roman" w:cs="Times New Roman"/>
          <w:sz w:val="27"/>
          <w:szCs w:val="27"/>
        </w:rPr>
        <w:t>пелица Д.В. требование об оплате членских взносов, которое получено адресатом 23 ноября 2016 года</w:t>
      </w:r>
      <w:r>
        <w:rPr>
          <w:rFonts w:ascii="Times New Roman" w:hAnsi="Times New Roman" w:cs="Times New Roman"/>
          <w:sz w:val="27"/>
          <w:szCs w:val="27"/>
        </w:rPr>
        <w:t>. Согласно указанного требования, Перепелица Д.В. указано о необходимости погашения задолженности в течении пяти дней с момента получения претензии.</w:t>
      </w:r>
    </w:p>
    <w:p w:rsidR="0009365F" w:rsidRPr="005C174D" w:rsidP="005C17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Ответствен</w:t>
      </w:r>
      <w:r w:rsidRPr="005C174D">
        <w:rPr>
          <w:rFonts w:ascii="Times New Roman" w:hAnsi="Times New Roman" w:cs="Times New Roman"/>
          <w:sz w:val="27"/>
          <w:szCs w:val="27"/>
        </w:rPr>
        <w:t xml:space="preserve">ность по </w:t>
      </w:r>
      <w:r>
        <w:fldChar w:fldCharType="begin"/>
      </w:r>
      <w:r>
        <w:instrText xml:space="preserve"> HYPERLINK "consultantplus://offline/ref=DEE33620ECC297D7F8DCB74E6B993AFB15C494AE79C25EBB4F49C3F06F6857764B2D5E1528079F1225q1V" </w:instrText>
      </w:r>
      <w:r>
        <w:fldChar w:fldCharType="separate"/>
      </w:r>
      <w:r w:rsidRPr="005C174D">
        <w:rPr>
          <w:rFonts w:ascii="Times New Roman" w:hAnsi="Times New Roman" w:cs="Times New Roman"/>
          <w:sz w:val="27"/>
          <w:szCs w:val="27"/>
        </w:rPr>
        <w:t>ст. 395</w:t>
      </w:r>
      <w:r>
        <w:fldChar w:fldCharType="end"/>
      </w:r>
      <w:r w:rsidRPr="005C174D">
        <w:rPr>
          <w:rFonts w:ascii="Times New Roman" w:hAnsi="Times New Roman" w:cs="Times New Roman"/>
          <w:sz w:val="27"/>
          <w:szCs w:val="27"/>
        </w:rPr>
        <w:t xml:space="preserve"> ГК РФ наступает за уклонение от исполнения денежного обязательства, поэтому начисление процентов, предусмотр</w:t>
      </w:r>
      <w:r w:rsidRPr="005C174D">
        <w:rPr>
          <w:rFonts w:ascii="Times New Roman" w:hAnsi="Times New Roman" w:cs="Times New Roman"/>
          <w:sz w:val="27"/>
          <w:szCs w:val="27"/>
        </w:rPr>
        <w:t xml:space="preserve">енных </w:t>
      </w:r>
      <w:r>
        <w:fldChar w:fldCharType="begin"/>
      </w:r>
      <w:r>
        <w:instrText xml:space="preserve"> HYPERLINK "consultantplus://offline/ref=DEE33620ECC297D7F8DCB74E6B993AFB15C494AE79C25EBB4F49C3F06F6857764B2D5E1528079F1225q1V" </w:instrText>
      </w:r>
      <w:r>
        <w:fldChar w:fldCharType="separate"/>
      </w:r>
      <w:r w:rsidRPr="005C174D">
        <w:rPr>
          <w:rFonts w:ascii="Times New Roman" w:hAnsi="Times New Roman" w:cs="Times New Roman"/>
          <w:sz w:val="27"/>
          <w:szCs w:val="27"/>
        </w:rPr>
        <w:t xml:space="preserve">ст. </w:t>
      </w:r>
      <w:r w:rsidRPr="005C174D">
        <w:rPr>
          <w:rFonts w:ascii="Times New Roman" w:hAnsi="Times New Roman" w:cs="Times New Roman"/>
          <w:sz w:val="27"/>
          <w:szCs w:val="27"/>
        </w:rPr>
        <w:t>395</w:t>
      </w:r>
      <w:r>
        <w:fldChar w:fldCharType="end"/>
      </w:r>
      <w:r w:rsidRPr="005C174D">
        <w:rPr>
          <w:rFonts w:ascii="Times New Roman" w:hAnsi="Times New Roman" w:cs="Times New Roman"/>
          <w:sz w:val="27"/>
          <w:szCs w:val="27"/>
        </w:rPr>
        <w:t xml:space="preserve"> ГК РФ, до момента получения требования об уплате задолженности, не основано на законе.</w:t>
      </w:r>
    </w:p>
    <w:p w:rsidR="00122D40" w:rsidRPr="005C174D" w:rsidP="005C174D">
      <w:pPr>
        <w:pStyle w:val="Heading2"/>
        <w:tabs>
          <w:tab w:val="left" w:pos="0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5C174D">
        <w:rPr>
          <w:rFonts w:ascii="Times New Roman" w:hAnsi="Times New Roman" w:cs="Times New Roman"/>
          <w:b w:val="0"/>
          <w:color w:val="auto"/>
          <w:sz w:val="27"/>
          <w:szCs w:val="27"/>
        </w:rPr>
        <w:t>При таком положении пери</w:t>
      </w:r>
      <w:r w:rsidRPr="005C174D">
        <w:rPr>
          <w:rFonts w:ascii="Times New Roman" w:hAnsi="Times New Roman" w:cs="Times New Roman"/>
          <w:b w:val="0"/>
          <w:color w:val="auto"/>
          <w:sz w:val="27"/>
          <w:szCs w:val="27"/>
        </w:rPr>
        <w:t>од просрочки исполнения обязательства на сумму 20275,74 (17575,74 + 2700) рублей надлежит исчислять с 29 ноября 2016 года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(23 ноября + 5 дней)</w:t>
      </w:r>
      <w:r w:rsidRPr="005C174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по 31 марта 2017 года и составляет 626,82 рубля.</w:t>
      </w:r>
    </w:p>
    <w:p w:rsidR="00685060" w:rsidRPr="005C174D" w:rsidP="005C174D">
      <w:pPr>
        <w:pStyle w:val="Heading2"/>
        <w:tabs>
          <w:tab w:val="left" w:pos="0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5C174D">
        <w:rPr>
          <w:rFonts w:ascii="Times New Roman" w:hAnsi="Times New Roman" w:cs="Times New Roman"/>
          <w:b w:val="0"/>
          <w:color w:val="auto"/>
          <w:sz w:val="27"/>
          <w:szCs w:val="27"/>
        </w:rPr>
        <w:t>Р</w:t>
      </w:r>
      <w:r w:rsidRPr="005C174D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 xml:space="preserve">асчет процентов за пользование чужими денежными средствами </w:t>
      </w:r>
      <w:r w:rsidRPr="005C174D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следующий.</w:t>
      </w:r>
    </w:p>
    <w:p w:rsidR="00B36D32" w:rsidRPr="00B36D32" w:rsidP="00052A8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79"/>
        <w:gridCol w:w="1065"/>
        <w:gridCol w:w="15"/>
        <w:gridCol w:w="1080"/>
        <w:gridCol w:w="748"/>
        <w:gridCol w:w="708"/>
        <w:gridCol w:w="1134"/>
        <w:gridCol w:w="709"/>
        <w:gridCol w:w="567"/>
        <w:gridCol w:w="992"/>
        <w:gridCol w:w="1100"/>
        <w:gridCol w:w="93"/>
      </w:tblGrid>
      <w:tr w:rsidTr="008C5050">
        <w:tblPrEx>
          <w:tblW w:w="969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1"/>
          <w:wAfter w:w="93" w:type="dxa"/>
        </w:trPr>
        <w:tc>
          <w:tcPr>
            <w:tcW w:w="1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Задолженность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руб.</w:t>
            </w:r>
          </w:p>
        </w:tc>
        <w:tc>
          <w:tcPr>
            <w:tcW w:w="36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Период просрочки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Процентная ставка,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Крымский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фед. округ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Дней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году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Проценты,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руб.</w:t>
            </w: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2"/>
          <w:wAfter w:w="1193" w:type="dxa"/>
        </w:trPr>
        <w:tc>
          <w:tcPr>
            <w:tcW w:w="1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дни 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сумма, 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2"/>
          <w:wAfter w:w="1193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6850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[1]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[2]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[3]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[4]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[5]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[6]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[7]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[8]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[1]×[4]×[7]/[8]</w:t>
            </w: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2"/>
          <w:wAfter w:w="1193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6850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20275,74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29.11.2016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20.12.2016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121,88</w:t>
            </w: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2"/>
          <w:wAfter w:w="1193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275,74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31.12.2016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54,93</w:t>
            </w: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2"/>
          <w:wAfter w:w="1193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275,74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26.03.2017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425,60</w:t>
            </w: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gridAfter w:val="2"/>
          <w:wAfter w:w="1193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275,74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27.03.2017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31.03.2017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9,75%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24,41</w:t>
            </w:r>
          </w:p>
        </w:tc>
      </w:tr>
      <w:tr w:rsidTr="008C5050">
        <w:tblPrEx>
          <w:tblW w:w="9690" w:type="dxa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Итого: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                       </w:t>
            </w:r>
            <w:r w:rsidRPr="00F17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9,99%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052A82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32" w:rsidRPr="00F17CBF" w:rsidP="00F17CBF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7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626,82</w:t>
            </w:r>
          </w:p>
        </w:tc>
      </w:tr>
    </w:tbl>
    <w:p w:rsidR="00122D40" w:rsidRPr="00052A82" w:rsidP="00052A8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firstLine="567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</w:p>
    <w:p w:rsidR="00BA5BF7" w:rsidRPr="005C174D" w:rsidP="003B45D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Доводы </w:t>
      </w:r>
      <w:r w:rsidRPr="005C174D">
        <w:rPr>
          <w:rFonts w:ascii="Times New Roman" w:hAnsi="Times New Roman" w:cs="Times New Roman"/>
          <w:sz w:val="27"/>
          <w:szCs w:val="27"/>
        </w:rPr>
        <w:t xml:space="preserve">представителя Казакова Д.В. относительно неоплаты членских взносов вследствие отсутствия информации о порядке, размерах и способах оплаты взносов после присоединения Республики Крым и города Севастополя к России, несостоятельны, поскольку ответчиком также </w:t>
      </w:r>
      <w:r w:rsidRPr="005C174D">
        <w:rPr>
          <w:rFonts w:ascii="Times New Roman" w:hAnsi="Times New Roman" w:cs="Times New Roman"/>
          <w:sz w:val="27"/>
          <w:szCs w:val="27"/>
        </w:rPr>
        <w:t xml:space="preserve">не представлено доказательств обращения за такой информацией и невозможности по указанной причине оплатить задолженность. Кроме того, указанные доводы не </w:t>
      </w:r>
      <w:r w:rsidRPr="005C174D">
        <w:rPr>
          <w:rFonts w:ascii="Times New Roman" w:hAnsi="Times New Roman" w:cs="Times New Roman"/>
          <w:sz w:val="27"/>
          <w:szCs w:val="27"/>
        </w:rPr>
        <w:t xml:space="preserve">являются основанием для освобождения </w:t>
      </w:r>
      <w:r w:rsidRPr="005C174D">
        <w:rPr>
          <w:rFonts w:ascii="Times New Roman" w:hAnsi="Times New Roman" w:cs="Times New Roman"/>
          <w:sz w:val="27"/>
          <w:szCs w:val="27"/>
        </w:rPr>
        <w:t>ответчика Перепелица Д.В.</w:t>
      </w:r>
      <w:r w:rsidRPr="005C174D">
        <w:rPr>
          <w:rFonts w:ascii="Times New Roman" w:hAnsi="Times New Roman" w:cs="Times New Roman"/>
          <w:sz w:val="27"/>
          <w:szCs w:val="27"/>
        </w:rPr>
        <w:t xml:space="preserve"> от уплаты </w:t>
      </w:r>
      <w:r w:rsidRPr="005C174D">
        <w:rPr>
          <w:rStyle w:val="snippetequal"/>
          <w:rFonts w:ascii="Times New Roman" w:hAnsi="Times New Roman" w:cs="Times New Roman"/>
          <w:sz w:val="27"/>
          <w:szCs w:val="27"/>
        </w:rPr>
        <w:t>членских взносов</w:t>
      </w:r>
      <w:r w:rsidRPr="005C174D">
        <w:rPr>
          <w:rFonts w:ascii="Times New Roman" w:hAnsi="Times New Roman" w:cs="Times New Roman"/>
          <w:sz w:val="27"/>
          <w:szCs w:val="27"/>
        </w:rPr>
        <w:t>.</w:t>
      </w:r>
    </w:p>
    <w:p w:rsidR="00122D40" w:rsidRPr="005C174D" w:rsidP="003B45D4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firstLine="54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При 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удовлетворении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иска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в силу ч. 1 ст.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5C174D">
        <w:rPr>
          <w:rFonts w:eastAsia="Times New Roman"/>
          <w:sz w:val="27"/>
          <w:szCs w:val="27"/>
          <w:bdr w:val="none" w:sz="0" w:space="0" w:color="auto" w:frame="1"/>
          <w:lang w:eastAsia="ru-RU"/>
        </w:rPr>
        <w:t>98 ГПК РФ</w:t>
      </w:r>
      <w:r>
        <w:fldChar w:fldCharType="end"/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 стороне, в пользу которой состоялось решение суда, суд присуждает возместить с другой стороны, все понесенные по делу судебные расходы. В случае, если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удовлетворен частично, указанные в настоящей статье судебные расходы присуждаются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 xml:space="preserve"> истцу пропорционально размеру удовлетворенных судом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исковых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требований, а ответчику пропорционально той части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исковых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требований, в которой истцу отказано.</w:t>
      </w:r>
    </w:p>
    <w:p w:rsidR="00122D40" w:rsidRPr="005C174D" w:rsidP="00052A8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firstLine="547"/>
        <w:jc w:val="both"/>
        <w:rPr>
          <w:rFonts w:eastAsia="Times New Roman"/>
          <w:sz w:val="27"/>
          <w:szCs w:val="27"/>
          <w:shd w:val="clear" w:color="auto" w:fill="FFFFFF"/>
          <w:lang w:eastAsia="ru-RU"/>
        </w:rPr>
      </w:pP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Поскольку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исковые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требования подлежат частичному удовлетворению, то с ответчика в пользу истца подл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ежит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взысканию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расходы </w:t>
      </w:r>
      <w:r w:rsidRPr="005C174D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по </w:t>
      </w:r>
      <w:r w:rsidRPr="005C174D">
        <w:rPr>
          <w:rFonts w:eastAsia="Times New Roman"/>
          <w:sz w:val="27"/>
          <w:szCs w:val="27"/>
          <w:shd w:val="clear" w:color="auto" w:fill="FFFFFF"/>
          <w:lang w:eastAsia="ru-RU"/>
        </w:rPr>
        <w:t>оплате государственной пошлины в размере 756,10 руб.</w:t>
      </w:r>
    </w:p>
    <w:p w:rsidR="00720361" w:rsidRPr="005C174D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 194-199 ГПК РФ, мировой судья</w:t>
      </w:r>
    </w:p>
    <w:p w:rsidR="00720361" w:rsidRPr="005C174D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</w:r>
      <w:r w:rsidRPr="005C174D">
        <w:rPr>
          <w:rFonts w:ascii="Times New Roman" w:hAnsi="Times New Roman" w:cs="Times New Roman"/>
          <w:sz w:val="27"/>
          <w:szCs w:val="27"/>
        </w:rPr>
        <w:tab/>
        <w:t xml:space="preserve">    </w:t>
      </w:r>
    </w:p>
    <w:p w:rsidR="00720361" w:rsidRPr="005C174D" w:rsidP="00052A8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Р Е Ш И Л:</w:t>
      </w:r>
    </w:p>
    <w:p w:rsidR="00720361" w:rsidRPr="005C174D" w:rsidP="00052A8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7"/>
          <w:szCs w:val="27"/>
        </w:rPr>
      </w:pPr>
    </w:p>
    <w:p w:rsidR="00720361" w:rsidRPr="005C174D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Исковые требования удовлетворить частично.</w:t>
      </w:r>
    </w:p>
    <w:p w:rsidR="00720361" w:rsidRPr="005C174D" w:rsidP="00052A82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5C174D">
        <w:rPr>
          <w:rFonts w:ascii="Times New Roman" w:hAnsi="Times New Roman" w:cs="Times New Roman"/>
          <w:sz w:val="27"/>
          <w:szCs w:val="27"/>
        </w:rPr>
        <w:t>Перепилица</w:t>
      </w:r>
      <w:r w:rsidRPr="005C174D">
        <w:rPr>
          <w:rFonts w:ascii="Times New Roman" w:hAnsi="Times New Roman" w:cs="Times New Roman"/>
          <w:sz w:val="27"/>
          <w:szCs w:val="27"/>
        </w:rPr>
        <w:t xml:space="preserve"> </w:t>
      </w:r>
      <w:r w:rsidR="005F745B">
        <w:rPr>
          <w:rFonts w:ascii="Times New Roman" w:hAnsi="Times New Roman" w:cs="Times New Roman"/>
          <w:sz w:val="27"/>
          <w:szCs w:val="27"/>
        </w:rPr>
        <w:t>Д.В.</w:t>
      </w:r>
      <w:r w:rsidRPr="005C174D">
        <w:rPr>
          <w:rFonts w:ascii="Times New Roman" w:hAnsi="Times New Roman" w:cs="Times New Roman"/>
          <w:sz w:val="27"/>
          <w:szCs w:val="27"/>
        </w:rPr>
        <w:t xml:space="preserve"> в пользу Потребительского кооператива рекреационного назначения и любительского рыболовства «Дельфин» (ОГРН </w:t>
      </w:r>
      <w:r w:rsidR="005F745B">
        <w:rPr>
          <w:rFonts w:ascii="Times New Roman" w:hAnsi="Times New Roman" w:cs="Times New Roman"/>
          <w:sz w:val="27"/>
          <w:szCs w:val="27"/>
        </w:rPr>
        <w:t>***</w:t>
      </w:r>
      <w:r w:rsidRPr="005C174D">
        <w:rPr>
          <w:rFonts w:ascii="Times New Roman" w:hAnsi="Times New Roman" w:cs="Times New Roman"/>
          <w:sz w:val="27"/>
          <w:szCs w:val="27"/>
        </w:rPr>
        <w:t xml:space="preserve">, ИНН/КПП </w:t>
      </w:r>
      <w:r w:rsidR="005F745B">
        <w:rPr>
          <w:rFonts w:ascii="Times New Roman" w:hAnsi="Times New Roman" w:cs="Times New Roman"/>
          <w:sz w:val="27"/>
          <w:szCs w:val="27"/>
        </w:rPr>
        <w:t>***</w:t>
      </w:r>
      <w:r w:rsidRPr="005C174D">
        <w:rPr>
          <w:rFonts w:ascii="Times New Roman" w:hAnsi="Times New Roman" w:cs="Times New Roman"/>
          <w:sz w:val="27"/>
          <w:szCs w:val="27"/>
        </w:rPr>
        <w:t>/</w:t>
      </w:r>
      <w:r w:rsidR="005F745B">
        <w:rPr>
          <w:rFonts w:ascii="Times New Roman" w:hAnsi="Times New Roman" w:cs="Times New Roman"/>
          <w:sz w:val="27"/>
          <w:szCs w:val="27"/>
        </w:rPr>
        <w:t>***</w:t>
      </w:r>
      <w:r w:rsidRPr="005C174D">
        <w:rPr>
          <w:rFonts w:ascii="Times New Roman" w:hAnsi="Times New Roman" w:cs="Times New Roman"/>
          <w:sz w:val="27"/>
          <w:szCs w:val="27"/>
        </w:rPr>
        <w:t>) задолженность по уплате членских взносов за период с 02 мая 2015 года по 01 июля 2016 года в разме</w:t>
      </w:r>
      <w:r w:rsidRPr="005C174D">
        <w:rPr>
          <w:rFonts w:ascii="Times New Roman" w:hAnsi="Times New Roman" w:cs="Times New Roman"/>
          <w:sz w:val="27"/>
          <w:szCs w:val="27"/>
        </w:rPr>
        <w:t xml:space="preserve">ре 15575 рублей 74 копеек, задолженность по уплате целевых взносов за период с 02 мая 2015 года по 01 июля 2016 года в размере 2700 рублей, проценты за пользования чужими денежными средствами за период с 29 ноября 2016 года по 31 марта 2017 года в размере </w:t>
      </w:r>
      <w:r w:rsidRPr="005C174D">
        <w:rPr>
          <w:rFonts w:ascii="Times New Roman" w:hAnsi="Times New Roman" w:cs="Times New Roman"/>
          <w:sz w:val="27"/>
          <w:szCs w:val="27"/>
        </w:rPr>
        <w:t>626 рублей 82 копеек, а также государственную пошлину в размере 756 рубля 10 копейки, а всего сумму в размере 19658 (девятнадцать тысяч шестьсот пятьдесят восемь) рублей 66 коп.</w:t>
      </w:r>
    </w:p>
    <w:p w:rsidR="00720361" w:rsidRPr="005C174D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 w:rsidR="00720361" w:rsidRPr="005C174D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Заявление о составлении </w:t>
      </w:r>
      <w:r w:rsidRPr="005C174D">
        <w:rPr>
          <w:rFonts w:ascii="Times New Roman" w:hAnsi="Times New Roman" w:cs="Times New Roman"/>
          <w:sz w:val="27"/>
          <w:szCs w:val="27"/>
        </w:rPr>
        <w:t>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5C174D">
        <w:rPr>
          <w:rFonts w:ascii="Times New Roman" w:hAnsi="Times New Roman" w:cs="Times New Roman"/>
          <w:sz w:val="27"/>
          <w:szCs w:val="27"/>
        </w:rPr>
        <w:t>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0361" w:rsidRPr="005C174D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C174D">
        <w:rPr>
          <w:rFonts w:ascii="Times New Roman" w:hAnsi="Times New Roman" w:cs="Times New Roman"/>
          <w:sz w:val="27"/>
          <w:szCs w:val="27"/>
        </w:rPr>
        <w:t xml:space="preserve">Мировой судья составляет мотивированное решение суда в течение пяти дней </w:t>
      </w:r>
      <w:r w:rsidRPr="005C174D">
        <w:rPr>
          <w:rFonts w:ascii="Times New Roman" w:hAnsi="Times New Roman" w:cs="Times New Roman"/>
          <w:sz w:val="27"/>
          <w:szCs w:val="27"/>
        </w:rPr>
        <w:t>со дня поступления от лиц, участвующих в деле и их представителей заявления о составлении мотивированного решения суда.</w:t>
      </w:r>
    </w:p>
    <w:p w:rsidR="00720361" w:rsidRPr="00C9145A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C9145A">
        <w:rPr>
          <w:rFonts w:ascii="Times New Roman" w:hAnsi="Times New Roman" w:cs="Times New Roman"/>
          <w:sz w:val="27"/>
          <w:szCs w:val="27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</w:t>
      </w:r>
      <w:r w:rsidRPr="00C9145A">
        <w:rPr>
          <w:rFonts w:ascii="Times New Roman" w:hAnsi="Times New Roman" w:cs="Times New Roman"/>
          <w:sz w:val="27"/>
          <w:szCs w:val="27"/>
        </w:rPr>
        <w:t>дебного района города Севастополя судебного участка №16 в течение месяца, с момента его принятия в окончательной форме.</w:t>
      </w:r>
    </w:p>
    <w:p w:rsidR="00720361" w:rsidRPr="00C9145A" w:rsidP="00052A82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C9145A">
        <w:rPr>
          <w:rFonts w:ascii="Times New Roman" w:hAnsi="Times New Roman" w:cs="Times New Roman"/>
          <w:sz w:val="27"/>
          <w:szCs w:val="27"/>
        </w:rPr>
        <w:t>Полный текст решения изготовлен 05 июня 2017 года.</w:t>
      </w:r>
    </w:p>
    <w:p w:rsidR="00720361" w:rsidRPr="00C9145A" w:rsidP="00052A82">
      <w:pPr>
        <w:spacing w:after="0" w:line="240" w:lineRule="auto"/>
        <w:ind w:firstLine="547"/>
        <w:rPr>
          <w:rFonts w:ascii="Times New Roman" w:hAnsi="Times New Roman" w:cs="Times New Roman"/>
          <w:sz w:val="27"/>
          <w:szCs w:val="27"/>
        </w:rPr>
      </w:pPr>
    </w:p>
    <w:p w:rsidR="00502B5C" w:rsidP="00C9145A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 w:rsidRPr="00C9145A">
        <w:rPr>
          <w:rFonts w:ascii="Times New Roman" w:hAnsi="Times New Roman" w:cs="Times New Roman"/>
          <w:sz w:val="27"/>
          <w:szCs w:val="27"/>
        </w:rPr>
        <w:t xml:space="preserve">Мировой судья: - подпись </w:t>
      </w:r>
    </w:p>
    <w:sectPr w:rsidSect="00856A2B">
      <w:pgSz w:w="11906" w:h="16838"/>
      <w:pgMar w:top="709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C49654-023E-4B6F-B78C-A61CD681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1F"/>
  </w:style>
  <w:style w:type="paragraph" w:styleId="Heading2">
    <w:name w:val="heading 2"/>
    <w:basedOn w:val="Normal"/>
    <w:next w:val="Normal"/>
    <w:link w:val="21"/>
    <w:uiPriority w:val="9"/>
    <w:unhideWhenUsed/>
    <w:qFormat/>
    <w:rsid w:val="00B36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32CE"/>
  </w:style>
  <w:style w:type="character" w:customStyle="1" w:styleId="snippetequal">
    <w:name w:val="snippet_equal"/>
    <w:basedOn w:val="DefaultParagraphFont"/>
    <w:rsid w:val="00E032CE"/>
  </w:style>
  <w:style w:type="character" w:styleId="Hyperlink">
    <w:name w:val="Hyperlink"/>
    <w:basedOn w:val="DefaultParagraphFont"/>
    <w:uiPriority w:val="99"/>
    <w:semiHidden/>
    <w:unhideWhenUsed/>
    <w:rsid w:val="00E032CE"/>
    <w:rPr>
      <w:color w:val="0000FF"/>
      <w:u w:val="single"/>
    </w:rPr>
  </w:style>
  <w:style w:type="paragraph" w:styleId="Title">
    <w:name w:val="Title"/>
    <w:basedOn w:val="Normal"/>
    <w:link w:val="a"/>
    <w:qFormat/>
    <w:rsid w:val="00E032C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">
    <w:name w:val="Заголовок Знак"/>
    <w:basedOn w:val="DefaultParagraphFont"/>
    <w:link w:val="Title"/>
    <w:rsid w:val="00E032CE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taj">
    <w:name w:val="taj"/>
    <w:basedOn w:val="DefaultParagraphFont"/>
    <w:uiPriority w:val="99"/>
    <w:rsid w:val="00E032CE"/>
  </w:style>
  <w:style w:type="paragraph" w:styleId="BalloonText">
    <w:name w:val="Balloon Text"/>
    <w:basedOn w:val="Normal"/>
    <w:link w:val="a0"/>
    <w:uiPriority w:val="99"/>
    <w:semiHidden/>
    <w:unhideWhenUsed/>
    <w:rsid w:val="0060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739C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DefaultParagraphFont"/>
    <w:uiPriority w:val="99"/>
    <w:rsid w:val="00C454A1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rsid w:val="00C454A1"/>
    <w:rPr>
      <w:rFonts w:ascii="Arial" w:hAnsi="Arial" w:cs="Arial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rsid w:val="00C454A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454A1"/>
    <w:pPr>
      <w:widowControl w:val="0"/>
      <w:shd w:val="clear" w:color="auto" w:fill="FFFFFF"/>
      <w:spacing w:before="240" w:after="360" w:line="240" w:lineRule="atLeast"/>
      <w:ind w:hanging="340"/>
    </w:pPr>
    <w:rPr>
      <w:rFonts w:ascii="Times New Roman" w:hAnsi="Times New Roman" w:cs="Times New Roman"/>
    </w:rPr>
  </w:style>
  <w:style w:type="paragraph" w:customStyle="1" w:styleId="5">
    <w:name w:val="Основной текст (5)"/>
    <w:basedOn w:val="Normal"/>
    <w:link w:val="5Exact"/>
    <w:uiPriority w:val="99"/>
    <w:rsid w:val="00C454A1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z w:val="15"/>
      <w:szCs w:val="15"/>
    </w:rPr>
  </w:style>
  <w:style w:type="character" w:customStyle="1" w:styleId="21">
    <w:name w:val="Заголовок 2 Знак"/>
    <w:basedOn w:val="DefaultParagraphFont"/>
    <w:link w:val="Heading2"/>
    <w:uiPriority w:val="9"/>
    <w:rsid w:val="00B36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D7C2-B6B7-4228-9B18-9E681432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