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1BC" w:rsidRPr="00B00B56" w:rsidP="001A3198">
      <w:pPr>
        <w:ind w:firstLine="567"/>
        <w:jc w:val="right"/>
        <w:rPr>
          <w:sz w:val="23"/>
          <w:szCs w:val="23"/>
        </w:rPr>
      </w:pP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  <w:t xml:space="preserve">          дело №2-71/11/2019</w:t>
      </w:r>
    </w:p>
    <w:p w:rsidR="00AF71BC" w:rsidRPr="00B00B56" w:rsidP="001A3198">
      <w:pPr>
        <w:pStyle w:val="Heading1"/>
        <w:ind w:firstLine="567"/>
        <w:rPr>
          <w:sz w:val="23"/>
          <w:szCs w:val="23"/>
        </w:rPr>
      </w:pPr>
      <w:r w:rsidRPr="00B00B56">
        <w:rPr>
          <w:sz w:val="23"/>
          <w:szCs w:val="23"/>
        </w:rPr>
        <w:t>Р Е Ш Е Н И Е</w:t>
      </w:r>
    </w:p>
    <w:p w:rsidR="00AF71BC" w:rsidRPr="00B00B56" w:rsidP="001A3198">
      <w:pPr>
        <w:pStyle w:val="Heading1"/>
        <w:ind w:firstLine="567"/>
        <w:rPr>
          <w:sz w:val="23"/>
          <w:szCs w:val="23"/>
        </w:rPr>
      </w:pPr>
      <w:r w:rsidRPr="00B00B56">
        <w:rPr>
          <w:sz w:val="23"/>
          <w:szCs w:val="23"/>
        </w:rPr>
        <w:t>Именем Российской Федерации</w:t>
      </w:r>
    </w:p>
    <w:p w:rsidR="00AF71BC" w:rsidRPr="00B00B56" w:rsidP="001A3198">
      <w:pPr>
        <w:ind w:firstLine="567"/>
        <w:jc w:val="center"/>
        <w:rPr>
          <w:sz w:val="23"/>
          <w:szCs w:val="23"/>
        </w:rPr>
      </w:pPr>
      <w:r w:rsidRPr="00B00B56">
        <w:rPr>
          <w:sz w:val="23"/>
          <w:szCs w:val="23"/>
        </w:rPr>
        <w:t>(мотивированное)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04 марта 2019 года</w:t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</w:r>
      <w:r w:rsidRPr="00B00B56">
        <w:rPr>
          <w:sz w:val="23"/>
          <w:szCs w:val="23"/>
        </w:rPr>
        <w:tab/>
        <w:t xml:space="preserve">          </w:t>
      </w:r>
      <w:r>
        <w:rPr>
          <w:sz w:val="23"/>
          <w:szCs w:val="23"/>
        </w:rPr>
        <w:t xml:space="preserve">            </w:t>
      </w:r>
      <w:r w:rsidRPr="00B00B56">
        <w:rPr>
          <w:sz w:val="23"/>
          <w:szCs w:val="23"/>
        </w:rPr>
        <w:t xml:space="preserve"> город Севастополь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Мировой судья Ленинского судебного района города Севастополя судебного участка №11 Тесля Ю.В.,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при </w:t>
      </w:r>
      <w:r w:rsidRPr="00B00B56">
        <w:rPr>
          <w:sz w:val="23"/>
          <w:szCs w:val="23"/>
        </w:rPr>
        <w:t>секретаре Лукьяновой Е.М.,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рассмотрев в открытом судебном заседании гражданское дело по иску </w:t>
      </w:r>
      <w:r w:rsidRPr="00B00B56">
        <w:rPr>
          <w:rStyle w:val="taj"/>
          <w:sz w:val="23"/>
          <w:szCs w:val="23"/>
        </w:rPr>
        <w:t>Публичного акционерного общества по газоснабжению и газификации «</w:t>
      </w:r>
      <w:r w:rsidRPr="00B00B56">
        <w:rPr>
          <w:rStyle w:val="taj"/>
          <w:sz w:val="23"/>
          <w:szCs w:val="23"/>
        </w:rPr>
        <w:t>Севастопольгаз</w:t>
      </w:r>
      <w:r w:rsidRPr="00B00B56">
        <w:rPr>
          <w:rStyle w:val="taj"/>
          <w:sz w:val="23"/>
          <w:szCs w:val="23"/>
        </w:rPr>
        <w:t>» к Сорокиной М.М.</w:t>
      </w:r>
      <w:r w:rsidRPr="00B00B56">
        <w:rPr>
          <w:rStyle w:val="taj"/>
          <w:sz w:val="23"/>
          <w:szCs w:val="23"/>
        </w:rPr>
        <w:t xml:space="preserve"> о взыскании задолженности</w:t>
      </w:r>
      <w:r w:rsidRPr="00B00B56">
        <w:rPr>
          <w:sz w:val="23"/>
          <w:szCs w:val="23"/>
        </w:rPr>
        <w:t>,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</w:p>
    <w:p w:rsidR="00AF71BC" w:rsidRPr="00B00B56" w:rsidP="001A3198">
      <w:pPr>
        <w:ind w:firstLine="567"/>
        <w:jc w:val="center"/>
        <w:rPr>
          <w:sz w:val="23"/>
          <w:szCs w:val="23"/>
        </w:rPr>
      </w:pPr>
      <w:r w:rsidRPr="00B00B56">
        <w:rPr>
          <w:sz w:val="23"/>
          <w:szCs w:val="23"/>
        </w:rPr>
        <w:t>У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С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Т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А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Н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О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В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И</w:t>
      </w:r>
      <w:r w:rsidRPr="00B00B56" w:rsidR="00AA6E3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Л: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ПАО </w:t>
      </w:r>
      <w:r w:rsidRPr="00B00B56">
        <w:rPr>
          <w:sz w:val="23"/>
          <w:szCs w:val="23"/>
        </w:rPr>
        <w:t>«Севастопольгаз» обратилось в суд с иском к Сорокиной М.М. о взыскании задолженности по оплате газоснабжения и газификации квартиры в размере 3563 руб. 31 коп., государственной пошлины в размере 400 руб. 00 коп.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Требования иска мотивированы тем, что в квар</w:t>
      </w:r>
      <w:r w:rsidRPr="00B00B56">
        <w:rPr>
          <w:sz w:val="23"/>
          <w:szCs w:val="23"/>
        </w:rPr>
        <w:t>тире по адресу: (изъято)</w:t>
      </w:r>
      <w:r w:rsidRPr="00B00B56">
        <w:rPr>
          <w:sz w:val="23"/>
          <w:szCs w:val="23"/>
        </w:rPr>
        <w:t>, собственником которого является Сорокина М.М., срок очередной поверки счетчика истек. Поскольку счетчик ответчиком не был своевременно поверен, расчет потребления газа производился не по пока</w:t>
      </w:r>
      <w:r w:rsidRPr="00B00B56">
        <w:rPr>
          <w:sz w:val="23"/>
          <w:szCs w:val="23"/>
        </w:rPr>
        <w:t>заниям счетчика, а по принципу нормативного начисления. Всего за период с 01</w:t>
      </w:r>
      <w:r w:rsidRPr="00B00B56" w:rsidR="003A2ECF">
        <w:rPr>
          <w:sz w:val="23"/>
          <w:szCs w:val="23"/>
        </w:rPr>
        <w:t xml:space="preserve"> апреля </w:t>
      </w:r>
      <w:r w:rsidRPr="00B00B56">
        <w:rPr>
          <w:sz w:val="23"/>
          <w:szCs w:val="23"/>
        </w:rPr>
        <w:t>2016 года по 27</w:t>
      </w:r>
      <w:r w:rsidRPr="00B00B56" w:rsidR="003A2ECF">
        <w:rPr>
          <w:sz w:val="23"/>
          <w:szCs w:val="23"/>
        </w:rPr>
        <w:t xml:space="preserve"> апреля </w:t>
      </w:r>
      <w:r w:rsidRPr="00B00B56">
        <w:rPr>
          <w:sz w:val="23"/>
          <w:szCs w:val="23"/>
        </w:rPr>
        <w:t xml:space="preserve">2018 </w:t>
      </w:r>
      <w:r w:rsidRPr="00B00B56" w:rsidR="003A2ECF">
        <w:rPr>
          <w:sz w:val="23"/>
          <w:szCs w:val="23"/>
        </w:rPr>
        <w:t xml:space="preserve">года </w:t>
      </w:r>
      <w:r w:rsidRPr="00B00B56">
        <w:rPr>
          <w:sz w:val="23"/>
          <w:szCs w:val="23"/>
        </w:rPr>
        <w:t>абоненту была рассчитана задолженность в размере 3563 руб. 31 коп. Просит взыскать указанную сумму задолженности с ответчика Сорокиной М.М.</w:t>
      </w:r>
      <w:r w:rsidRPr="00B00B56">
        <w:rPr>
          <w:sz w:val="23"/>
          <w:szCs w:val="23"/>
        </w:rPr>
        <w:t>, судебные расходы отнести на счет должника.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судебном заседании представитель истца Кузнецова Е.И., действующая по доверенности, поддержала исковые требования, настаивала на их удовлетворении, просила взыскать с ответчика Сорокиной М.М. сумму долга за га</w:t>
      </w:r>
      <w:r w:rsidRPr="00B00B56">
        <w:rPr>
          <w:sz w:val="23"/>
          <w:szCs w:val="23"/>
        </w:rPr>
        <w:t>зоснабжение жилого помещения в указанном размере, судебные расходы отнести на счет должника.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судебное заседание явилась Сорокина М.М., пояснила, что является собственником квартиры по адресу: (изъято)</w:t>
      </w:r>
      <w:r w:rsidRPr="00B00B56">
        <w:rPr>
          <w:sz w:val="23"/>
          <w:szCs w:val="23"/>
        </w:rPr>
        <w:t>, с лета 2016 го</w:t>
      </w:r>
      <w:r w:rsidRPr="00B00B56">
        <w:rPr>
          <w:sz w:val="23"/>
          <w:szCs w:val="23"/>
        </w:rPr>
        <w:t>да в ней постоянно никто не проживает. На момент возникновения претензий в 2016 году действовал типовой договор о предоставлении населению услуг по газоснабжению от 27</w:t>
      </w:r>
      <w:r w:rsidRPr="00B00B56" w:rsidR="003A2ECF">
        <w:rPr>
          <w:sz w:val="23"/>
          <w:szCs w:val="23"/>
        </w:rPr>
        <w:t xml:space="preserve"> сентября </w:t>
      </w:r>
      <w:r w:rsidRPr="00B00B56">
        <w:rPr>
          <w:sz w:val="23"/>
          <w:szCs w:val="23"/>
        </w:rPr>
        <w:t>2008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(далее – Типовой договор), и так как ПАО «Севастопольгаз» является пр</w:t>
      </w:r>
      <w:r w:rsidRPr="00B00B56">
        <w:rPr>
          <w:sz w:val="23"/>
          <w:szCs w:val="23"/>
        </w:rPr>
        <w:t>авопреемником ОАО «Севастопольгаз», условия данного Типового договора сохраняли юридическую силу до момента перезаключения договора в декабре 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>. Также</w:t>
      </w:r>
      <w:r w:rsidRPr="00B00B56" w:rsidR="003A2ECF">
        <w:rPr>
          <w:sz w:val="23"/>
          <w:szCs w:val="23"/>
        </w:rPr>
        <w:t>,</w:t>
      </w:r>
      <w:r w:rsidRPr="00B00B56">
        <w:rPr>
          <w:sz w:val="23"/>
          <w:szCs w:val="23"/>
        </w:rPr>
        <w:t xml:space="preserve"> согласно условий Типового договора</w:t>
      </w:r>
      <w:r w:rsidRPr="00B00B56" w:rsidR="003A2ECF">
        <w:rPr>
          <w:sz w:val="23"/>
          <w:szCs w:val="23"/>
        </w:rPr>
        <w:t>,</w:t>
      </w:r>
      <w:r w:rsidRPr="00B00B56">
        <w:rPr>
          <w:sz w:val="23"/>
          <w:szCs w:val="23"/>
        </w:rPr>
        <w:t xml:space="preserve"> обязанность проводить поверку, в том числе демонтаж, транспо</w:t>
      </w:r>
      <w:r w:rsidRPr="00B00B56">
        <w:rPr>
          <w:sz w:val="23"/>
          <w:szCs w:val="23"/>
        </w:rPr>
        <w:t>ртировку и монтаж лежит на ОАО «Севастопольгаз». Вина за несвоевременную поверку газового счетчика лежит на поставщике газа. Истцом неправомерно в произвольном порядке назначена дата поверки, не связанная ни с какими сроками и заведомо неисполнима – 08</w:t>
      </w:r>
      <w:r w:rsidRPr="00B00B56" w:rsidR="003A2ECF">
        <w:rPr>
          <w:sz w:val="23"/>
          <w:szCs w:val="23"/>
        </w:rPr>
        <w:t xml:space="preserve"> октября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>. Уведомление выписано 29</w:t>
      </w:r>
      <w:r w:rsidRPr="00B00B56" w:rsidR="003A2ECF">
        <w:rPr>
          <w:sz w:val="23"/>
          <w:szCs w:val="23"/>
        </w:rPr>
        <w:t xml:space="preserve"> сентября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(исправлено на 24</w:t>
      </w:r>
      <w:r w:rsidRPr="00B00B56" w:rsidR="003A2ECF">
        <w:rPr>
          <w:sz w:val="23"/>
          <w:szCs w:val="23"/>
        </w:rPr>
        <w:t xml:space="preserve"> сентября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>), не вручено лично, положено в почтовый ящик. Обнаружив в конце сентября 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указанное уведомлени</w:t>
      </w:r>
      <w:r w:rsidRPr="00B00B56" w:rsidR="003A2ECF">
        <w:rPr>
          <w:sz w:val="23"/>
          <w:szCs w:val="23"/>
        </w:rPr>
        <w:t>е,</w:t>
      </w:r>
      <w:r w:rsidRPr="00B00B56">
        <w:rPr>
          <w:sz w:val="23"/>
          <w:szCs w:val="23"/>
        </w:rPr>
        <w:t xml:space="preserve"> Сорокина М.М. в этот же день сделала заявку на демонта</w:t>
      </w:r>
      <w:r w:rsidRPr="00B00B56">
        <w:rPr>
          <w:sz w:val="23"/>
          <w:szCs w:val="23"/>
        </w:rPr>
        <w:t>ж счетчика. В нарушение законодательства заявка была принята и дата назначена только на 09</w:t>
      </w:r>
      <w:r w:rsidRPr="00B00B56" w:rsidR="003A2ECF">
        <w:rPr>
          <w:sz w:val="23"/>
          <w:szCs w:val="23"/>
        </w:rPr>
        <w:t xml:space="preserve"> ноября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, однако в указанную дату Сорокина М.М. по объективным причинам не могла обеспечить доступ к счетчику, в связи с чем, дата демонтажа была перенесена </w:t>
      </w:r>
      <w:r w:rsidRPr="00B00B56">
        <w:rPr>
          <w:sz w:val="23"/>
          <w:szCs w:val="23"/>
        </w:rPr>
        <w:t>на 29</w:t>
      </w:r>
      <w:r w:rsidRPr="00B00B56" w:rsidR="003A2ECF">
        <w:rPr>
          <w:sz w:val="23"/>
          <w:szCs w:val="23"/>
        </w:rPr>
        <w:t xml:space="preserve"> ноября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>. В этот день счетчик был демонтирован и передан на поверку в лабораторию истца. Сообщение о непригодности счетчика было получено Сорокиной М.М. 09</w:t>
      </w:r>
      <w:r w:rsidRPr="00B00B56" w:rsidR="003A2ECF">
        <w:rPr>
          <w:sz w:val="23"/>
          <w:szCs w:val="23"/>
        </w:rPr>
        <w:t xml:space="preserve"> декабря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>, в этот же день был приобретен новый счетчик и сделана попытка подат</w:t>
      </w:r>
      <w:r w:rsidRPr="00B00B56">
        <w:rPr>
          <w:sz w:val="23"/>
          <w:szCs w:val="23"/>
        </w:rPr>
        <w:t xml:space="preserve">ь заявку на его монтаж. Отказ в монтаже был неправомерно мотивирован тем, что Сорокина М.М. не перезаключила договор на поставку газа. В связи с волокитой со стороны истца, необходимостью осуществления дополнительных действий, установка счетчика назначена </w:t>
      </w:r>
      <w:r w:rsidRPr="00B00B56">
        <w:rPr>
          <w:sz w:val="23"/>
          <w:szCs w:val="23"/>
        </w:rPr>
        <w:t>только на 25</w:t>
      </w:r>
      <w:r w:rsidRPr="00B00B56" w:rsidR="003A2ECF">
        <w:rPr>
          <w:sz w:val="23"/>
          <w:szCs w:val="23"/>
        </w:rPr>
        <w:t xml:space="preserve"> января </w:t>
      </w:r>
      <w:r w:rsidRPr="00B00B56">
        <w:rPr>
          <w:sz w:val="23"/>
          <w:szCs w:val="23"/>
        </w:rPr>
        <w:t>2017 г</w:t>
      </w:r>
      <w:r w:rsidRPr="00B00B56" w:rsidR="003A2ECF">
        <w:rPr>
          <w:sz w:val="23"/>
          <w:szCs w:val="23"/>
        </w:rPr>
        <w:t>ода.</w:t>
      </w:r>
      <w:r w:rsidRPr="00B00B56">
        <w:rPr>
          <w:sz w:val="23"/>
          <w:szCs w:val="23"/>
        </w:rPr>
        <w:t xml:space="preserve"> Расчет истца содержит недостоверные сведения и фальсифицированные данные, ответчиком представлен контррасчет.</w:t>
      </w:r>
      <w:r w:rsidRPr="00B00B56" w:rsidR="003A2ECF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>Учитывая объем потребления газа</w:t>
      </w:r>
      <w:r w:rsidRPr="00B00B56" w:rsidR="003A2ECF">
        <w:rPr>
          <w:sz w:val="23"/>
          <w:szCs w:val="23"/>
        </w:rPr>
        <w:t>,</w:t>
      </w:r>
      <w:r w:rsidRPr="00B00B56">
        <w:rPr>
          <w:sz w:val="23"/>
          <w:szCs w:val="23"/>
        </w:rPr>
        <w:t xml:space="preserve"> необходимо было пересчитать сумму долга, о чем</w:t>
      </w:r>
      <w:r w:rsidRPr="00B00B56" w:rsidR="003A2ECF">
        <w:rPr>
          <w:sz w:val="23"/>
          <w:szCs w:val="23"/>
        </w:rPr>
        <w:t>,</w:t>
      </w:r>
      <w:r w:rsidRPr="00B00B56">
        <w:rPr>
          <w:sz w:val="23"/>
          <w:szCs w:val="23"/>
        </w:rPr>
        <w:t xml:space="preserve"> в том числе</w:t>
      </w:r>
      <w:r w:rsidRPr="00B00B56" w:rsidR="003A2ECF">
        <w:rPr>
          <w:sz w:val="23"/>
          <w:szCs w:val="23"/>
        </w:rPr>
        <w:t>,</w:t>
      </w:r>
      <w:r w:rsidRPr="00B00B56">
        <w:rPr>
          <w:sz w:val="23"/>
          <w:szCs w:val="23"/>
        </w:rPr>
        <w:t xml:space="preserve"> просила Сорокина М.М.</w:t>
      </w:r>
      <w:r w:rsidRPr="00B00B56">
        <w:rPr>
          <w:sz w:val="23"/>
          <w:szCs w:val="23"/>
        </w:rPr>
        <w:t xml:space="preserve"> в своем письменном заявлении, чего истцом сделано не было. Вины собственника квартиры в пропуске срока поверки прибора учета газа нет, в связи с чем она просила отказать в иске.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Выслушав представителя истца, ответчика, исследовав письменные материалы дела</w:t>
      </w:r>
      <w:r w:rsidRPr="00B00B56">
        <w:rPr>
          <w:sz w:val="23"/>
          <w:szCs w:val="23"/>
        </w:rPr>
        <w:t>, суд приходит к выводу о том, что исковые требования подлежат удовлетворению по следующим основаниям.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Судом установлено, что ответчик являлся собственником жилого помещения в (адрес)</w:t>
      </w:r>
      <w:r w:rsidRPr="00B00B56">
        <w:rPr>
          <w:sz w:val="23"/>
          <w:szCs w:val="23"/>
        </w:rPr>
        <w:t>, с 22</w:t>
      </w:r>
      <w:r w:rsidRPr="00B00B56" w:rsidR="003A2ECF">
        <w:rPr>
          <w:sz w:val="23"/>
          <w:szCs w:val="23"/>
        </w:rPr>
        <w:t xml:space="preserve"> декабря </w:t>
      </w:r>
      <w:r w:rsidRPr="00B00B56">
        <w:rPr>
          <w:sz w:val="23"/>
          <w:szCs w:val="23"/>
        </w:rPr>
        <w:t>2016 г</w:t>
      </w:r>
      <w:r w:rsidRPr="00B00B56" w:rsidR="003A2ECF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состоит</w:t>
      </w:r>
      <w:r w:rsidRPr="00B00B56">
        <w:rPr>
          <w:sz w:val="23"/>
          <w:szCs w:val="23"/>
        </w:rPr>
        <w:t xml:space="preserve"> в договорных отношениях с предприятием истца, является его абонентом, пользуется коммунальной услугой газоснабжения жилого помещения, предоставляемой предприятием истца.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соответствии со ст. 483 ГК РФ в случаях, когда абонентом по договору энергоснабжени</w:t>
      </w:r>
      <w:r w:rsidRPr="00B00B56">
        <w:rPr>
          <w:sz w:val="23"/>
          <w:szCs w:val="23"/>
        </w:rPr>
        <w:t>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к сети. Данный договор является публичным, поэтому в соответствии со ст. 426 ГК РФ условия публичного до</w:t>
      </w:r>
      <w:r w:rsidRPr="00B00B56">
        <w:rPr>
          <w:sz w:val="23"/>
          <w:szCs w:val="23"/>
        </w:rPr>
        <w:t>говора устанавливаются одинаковыми для всех потребителей.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данным лицевого счета следует, что по адресу</w:t>
      </w:r>
      <w:r w:rsidRPr="00B00B56" w:rsidR="004E7811">
        <w:rPr>
          <w:sz w:val="23"/>
          <w:szCs w:val="23"/>
        </w:rPr>
        <w:t>:</w:t>
      </w:r>
      <w:r w:rsidRPr="00B00B56">
        <w:rPr>
          <w:sz w:val="23"/>
          <w:szCs w:val="23"/>
        </w:rPr>
        <w:t xml:space="preserve"> (изъято)</w:t>
      </w:r>
      <w:r w:rsidRPr="00B00B56">
        <w:rPr>
          <w:sz w:val="23"/>
          <w:szCs w:val="23"/>
        </w:rPr>
        <w:t>, установлен прибор учета газа.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уведомления о поверке счетчика от 24</w:t>
      </w:r>
      <w:r w:rsidRPr="00B00B56" w:rsidR="004E7811">
        <w:rPr>
          <w:sz w:val="23"/>
          <w:szCs w:val="23"/>
        </w:rPr>
        <w:t xml:space="preserve"> сентября </w:t>
      </w:r>
      <w:r w:rsidRPr="00B00B56">
        <w:rPr>
          <w:sz w:val="23"/>
          <w:szCs w:val="23"/>
        </w:rPr>
        <w:t>2016 г</w:t>
      </w:r>
      <w:r w:rsidRPr="00B00B56" w:rsidR="004E7811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(исправлено на 24</w:t>
      </w:r>
      <w:r w:rsidRPr="00B00B56" w:rsidR="004E7811">
        <w:rPr>
          <w:sz w:val="23"/>
          <w:szCs w:val="23"/>
        </w:rPr>
        <w:t xml:space="preserve"> сентября </w:t>
      </w:r>
      <w:r w:rsidRPr="00B00B56">
        <w:rPr>
          <w:sz w:val="23"/>
          <w:szCs w:val="23"/>
        </w:rPr>
        <w:t>2016), ответчику в срок до 08</w:t>
      </w:r>
      <w:r w:rsidRPr="00B00B56" w:rsidR="004E7811">
        <w:rPr>
          <w:sz w:val="23"/>
          <w:szCs w:val="23"/>
        </w:rPr>
        <w:t xml:space="preserve"> октября </w:t>
      </w:r>
      <w:r w:rsidRPr="00B00B56">
        <w:rPr>
          <w:sz w:val="23"/>
          <w:szCs w:val="23"/>
        </w:rPr>
        <w:t>2016 г</w:t>
      </w:r>
      <w:r w:rsidRPr="00B00B56" w:rsidR="004E7811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рекомендовано провести гос. поверку счетчика.  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акта снятия БСГ от 29</w:t>
      </w:r>
      <w:r w:rsidRPr="00B00B56" w:rsidR="004E7811">
        <w:rPr>
          <w:sz w:val="23"/>
          <w:szCs w:val="23"/>
        </w:rPr>
        <w:t xml:space="preserve"> ноября </w:t>
      </w:r>
      <w:r w:rsidRPr="00B00B56">
        <w:rPr>
          <w:sz w:val="23"/>
          <w:szCs w:val="23"/>
        </w:rPr>
        <w:t>2016 г</w:t>
      </w:r>
      <w:r w:rsidRPr="00B00B56" w:rsidR="004E7811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счетчик снят на </w:t>
      </w:r>
      <w:r w:rsidRPr="00B00B56">
        <w:rPr>
          <w:sz w:val="23"/>
          <w:szCs w:val="23"/>
        </w:rPr>
        <w:t>гос.поверку</w:t>
      </w:r>
      <w:r w:rsidRPr="00B00B56">
        <w:rPr>
          <w:sz w:val="23"/>
          <w:szCs w:val="23"/>
        </w:rPr>
        <w:t>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По результатам поверки 15 декабря 2016 года потребителю</w:t>
      </w:r>
      <w:r w:rsidRPr="00B00B56">
        <w:rPr>
          <w:sz w:val="23"/>
          <w:szCs w:val="23"/>
        </w:rPr>
        <w:t xml:space="preserve"> сообщено о непригодности счетчика, указанное извещение выдано Сорокиной М.</w:t>
      </w:r>
      <w:r w:rsidRPr="00B00B56">
        <w:rPr>
          <w:sz w:val="23"/>
          <w:szCs w:val="23"/>
        </w:rPr>
        <w:t xml:space="preserve">М. вместе с прибором учета газа. 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судебном заседании установлено, что поверка прибора учета газа проведена истцом после наступления срока поверки.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Судом установлено и не </w:t>
      </w:r>
      <w:r w:rsidRPr="00B00B56">
        <w:rPr>
          <w:sz w:val="23"/>
          <w:szCs w:val="23"/>
        </w:rPr>
        <w:t>оспаривается сторонами, что заявления о временном отсутствии всех граждан по адресу учета потребления ответчик не писала, документы, подтверждающие не проживание по адресу</w:t>
      </w:r>
      <w:r w:rsidRPr="00B00B56" w:rsidR="004E7811">
        <w:rPr>
          <w:sz w:val="23"/>
          <w:szCs w:val="23"/>
        </w:rPr>
        <w:t>,</w:t>
      </w:r>
      <w:r w:rsidRPr="00B00B56">
        <w:rPr>
          <w:sz w:val="23"/>
          <w:szCs w:val="23"/>
        </w:rPr>
        <w:t xml:space="preserve"> не предоставляла. Сведения, которые указывала ответчик в квитанциях не подменяют об</w:t>
      </w:r>
      <w:r w:rsidRPr="00B00B56">
        <w:rPr>
          <w:sz w:val="23"/>
          <w:szCs w:val="23"/>
        </w:rPr>
        <w:t>язанность документального обращения и подтверждения поставщику услуг. Оплата за газ ответчиком проводилась не ежемесячно.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ст. 18 Федерального закона от 31.03.1999 г. N 69-ФЗ "О газоснабжении в Российской Федерации", поставки газа проводятся на осн</w:t>
      </w:r>
      <w:r w:rsidRPr="00B00B56">
        <w:rPr>
          <w:sz w:val="23"/>
          <w:szCs w:val="23"/>
        </w:rPr>
        <w:t>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</w:t>
      </w:r>
      <w:r w:rsidRPr="00B00B56">
        <w:rPr>
          <w:sz w:val="23"/>
          <w:szCs w:val="23"/>
        </w:rPr>
        <w:t>ации, а также иными нормативными правовыми актами, изданными во исполнение настоящего Федерального закона.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Пунктами 24, 25, 55 постановления Правительства РФ N 549 от 21.07.2008 г. установлено, что при наличии приборов учета газа определение объема поставл</w:t>
      </w:r>
      <w:r w:rsidRPr="00B00B56">
        <w:rPr>
          <w:sz w:val="23"/>
          <w:szCs w:val="23"/>
        </w:rPr>
        <w:t>яемого газа осуществляется по показаниям прибора (узла) учета газа. Определение объема потребленного газа осуществляется по показаниям прибора учета газа при соблюдении следующих условий: используются приборы учета газа, типы которых внесены в государствен</w:t>
      </w:r>
      <w:r w:rsidRPr="00B00B56">
        <w:rPr>
          <w:sz w:val="23"/>
          <w:szCs w:val="23"/>
        </w:rPr>
        <w:t>ный реестр средств измерении; пломба (пломбы), установленная на приборе учета газа заводом-изготовителем или организацией, проводившей последнюю поверку, и пломба, установленная поставщиком газа на месте, где прибор учета газа присоединен к газопроводу, не</w:t>
      </w:r>
      <w:r w:rsidRPr="00B00B56">
        <w:rPr>
          <w:sz w:val="23"/>
          <w:szCs w:val="23"/>
        </w:rPr>
        <w:t xml:space="preserve"> нарушены; срок проведения очередной поверки, определяемый с учетом периодичности ее проведения, устанавливаемой Федеральным агентством по техническому регулированию и метрологии для каждого типа приборов учета газа, допущенных к использованию на территори</w:t>
      </w:r>
      <w:r w:rsidRPr="00B00B56">
        <w:rPr>
          <w:sz w:val="23"/>
          <w:szCs w:val="23"/>
        </w:rPr>
        <w:t>и Российской Федерации, не наступил; прибор учета газа находится в исправном состоянии.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силу п. 11 ч. 1 ст. 4 ЖК РФ, жилищное законодательство регулирует отношения по поводу внесения платы за жилое помещение и коммунальные услуги.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ч. 1 ст. 540 Г</w:t>
      </w:r>
      <w:r w:rsidRPr="00B00B56">
        <w:rPr>
          <w:sz w:val="23"/>
          <w:szCs w:val="23"/>
        </w:rPr>
        <w:t>К РФ,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В соответствии с ч. 1 ст. 543 ГК РФ,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B00B56">
        <w:rPr>
          <w:sz w:val="23"/>
          <w:szCs w:val="23"/>
        </w:rPr>
        <w:t>энергоснабжающей организации об авариях, о пожарах, неисправностях приборов учета энергии и об иных нарушениях, возникающих при пользовании энергией.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ч. 1 ст. 153 ЖК РФ, граждане и организации обязаны своевременно и полностью вносить плату за жило</w:t>
      </w:r>
      <w:r w:rsidRPr="00B00B56">
        <w:rPr>
          <w:sz w:val="23"/>
          <w:szCs w:val="23"/>
        </w:rPr>
        <w:t>е помещение и коммунальные услуги.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ч. 1 ст. 157 ЖК РФ,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</w:t>
      </w:r>
      <w:r w:rsidRPr="00B00B56">
        <w:rPr>
          <w:sz w:val="23"/>
          <w:szCs w:val="23"/>
        </w:rPr>
        <w:t>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Правила предоставления, приостановки и ограничения предоставления коммунальных услуг собстве</w:t>
      </w:r>
      <w:r w:rsidRPr="00B00B56">
        <w:rPr>
          <w:sz w:val="23"/>
          <w:szCs w:val="23"/>
        </w:rPr>
        <w:t>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</w:t>
      </w:r>
      <w:r w:rsidRPr="00B00B56">
        <w:rPr>
          <w:sz w:val="23"/>
          <w:szCs w:val="23"/>
        </w:rPr>
        <w:t>ративом договоров с ресурсоснабжающими организациями, устанавливаются Правительством Российской Федерации.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П. 41 Правил поставки газа для обеспечения коммунально-бытовых нужд граждан, утвержденных постановлением Правительства РФ от 21.07.2008 года N 549 "О</w:t>
      </w:r>
      <w:r w:rsidRPr="00B00B56">
        <w:rPr>
          <w:sz w:val="23"/>
          <w:szCs w:val="23"/>
        </w:rPr>
        <w:t xml:space="preserve"> порядке поставки газа для обеспечения коммунально-бытовых нужд граждан" предусмотрено, что размер платы за потребленный газ рассчитывается как произведение объема потребленного газа, определенного по показаниям прибора учета, а при его отсутствии, в поряд</w:t>
      </w:r>
      <w:r w:rsidRPr="00B00B56">
        <w:rPr>
          <w:sz w:val="23"/>
          <w:szCs w:val="23"/>
        </w:rPr>
        <w:t>ке, установленном пунктами 32 - 38 Правил поставки газа.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П. 32 Правил поставки газа указывает, что отсутствие у абонента прибора учета газа влечет необходимость определения объема потребленного газа в соответствии с нормативами потребления.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Согласно пп. </w:t>
      </w:r>
      <w:r w:rsidRPr="00B00B56">
        <w:rPr>
          <w:sz w:val="23"/>
          <w:szCs w:val="23"/>
        </w:rPr>
        <w:t>"в" п. 25 Правил, определение объема потребленного газа осуществляется по показаниям прибора учета газа при соблюдении следующих условий: срок проведения очередной поверки прибора учета газа, определяемый с учетом периодичности ее проведения, устанавливаем</w:t>
      </w:r>
      <w:r w:rsidRPr="00B00B56">
        <w:rPr>
          <w:sz w:val="23"/>
          <w:szCs w:val="23"/>
        </w:rPr>
        <w:t>ой Федеральным агентством по техническому регулированию и метрологии для каждого типа приборов учета газа, допущенных к использованию на территории РФ, не наступил.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Согласно подпункту "в" пункта 21 указанных Правил, абонент обязан обеспечивать в установлен</w:t>
      </w:r>
      <w:r w:rsidRPr="00B00B56">
        <w:rPr>
          <w:sz w:val="23"/>
          <w:szCs w:val="23"/>
        </w:rPr>
        <w:t>ные сроки представление прибора учета газа для проведения поверки.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При этом пунктом 25 указанных Правил закреплено, что определение объема потребленного газа осуществляется по показаниям прибора учета газа при соблюдении следующих условий: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    а) использую</w:t>
      </w:r>
      <w:r w:rsidRPr="00B00B56">
        <w:rPr>
          <w:sz w:val="23"/>
          <w:szCs w:val="23"/>
        </w:rPr>
        <w:t>тся приборы учета газа, типы которых внесены в государственный реестр средств измерений;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    б) пломба (пломбы), установленная на приборе учета газа заводом- изготовителем или организацией, проводившей последнюю поверку, и пломба, установленная поставщиком</w:t>
      </w:r>
      <w:r w:rsidRPr="00B00B56">
        <w:rPr>
          <w:sz w:val="23"/>
          <w:szCs w:val="23"/>
        </w:rPr>
        <w:t xml:space="preserve"> газа на месте, где прибор учета газа присоединен к газопроводу, не нарушены;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    в) срок проведения очередной поверки, определяемый с учетом периодичности ее проведения, устанавливаемой Федеральным агентством по техническому регулированию и метрологии для</w:t>
      </w:r>
      <w:r w:rsidRPr="00B00B56">
        <w:rPr>
          <w:sz w:val="23"/>
          <w:szCs w:val="23"/>
        </w:rPr>
        <w:t xml:space="preserve"> каждого типа приборов учета газа, допущенных к использованию на территории Российской Федерации, не наступил;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    г) прибор учета газа находится в исправном состоянии.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То есть, оплата услуги газоснабжения, исходя из фактического потребления объема газа, в</w:t>
      </w:r>
      <w:r w:rsidRPr="00B00B56">
        <w:rPr>
          <w:sz w:val="23"/>
          <w:szCs w:val="23"/>
        </w:rPr>
        <w:t>озможна лишь при условии соблюдения указанных выше условий в совокупности. Несоблюдение хотя бы одного из условий не позволяет вести речь о возможности оплаты услуги газоснабжения, исходя из показаний прибора учета.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Указанное правило обосновано тем, что по</w:t>
      </w:r>
      <w:r w:rsidRPr="00B00B56">
        <w:rPr>
          <w:sz w:val="23"/>
          <w:szCs w:val="23"/>
        </w:rPr>
        <w:t xml:space="preserve"> истечении установленного изготовителем срока поверки индивидуального прибора учета его показания об объеме потребляемых коммунальных услуг не могут считаться достоверными, что фактически позволяет констатировать отсутствие прибора учета, поэтому расчет пл</w:t>
      </w:r>
      <w:r w:rsidRPr="00B00B56">
        <w:rPr>
          <w:sz w:val="23"/>
          <w:szCs w:val="23"/>
        </w:rPr>
        <w:t>аты в таких случаях рассчитывается исходя из нормативов потребления коммунальных услуг, что соответствует положениям части 1 статьи 157 Жилищного кодекса Российской Федерации.</w:t>
      </w:r>
    </w:p>
    <w:p w:rsidR="00D41F28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Аналогичные положения содержатся и в Постановлении Правительства Российской Феде</w:t>
      </w:r>
      <w:r w:rsidRPr="00B00B56">
        <w:rPr>
          <w:sz w:val="23"/>
          <w:szCs w:val="23"/>
        </w:rPr>
        <w:t>рации от 06 мая 2011 года № 354 «О предоставлении коммунальных услуг собственникам и пользователям помещений в многоквартирных домах и жилых домов», согласно которому прибор учета считается вышедшим из строя в случае истечения межповерочного интервала пове</w:t>
      </w:r>
      <w:r w:rsidRPr="00B00B56">
        <w:rPr>
          <w:sz w:val="23"/>
          <w:szCs w:val="23"/>
        </w:rPr>
        <w:t>рки приборов учета (пункт 81(12).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Таким образом, ненаступление срока очередной поверки является одним из обязательных условий, при которых определение объема потребленного газа осуществляется по показаниям прибора учета.</w:t>
      </w:r>
    </w:p>
    <w:p w:rsidR="00D42BC0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Действительно, учет потребления газ</w:t>
      </w:r>
      <w:r w:rsidRPr="00B00B56">
        <w:rPr>
          <w:sz w:val="23"/>
          <w:szCs w:val="23"/>
        </w:rPr>
        <w:t xml:space="preserve">а по лицевому счету ответчика велся с помощью прибора учета газа (счетчика). Однако, в спорный период в связи с истечением срок поверки прибора учета газа его показания в силу подпункта «в» пункта 25 Правил № 549 не могли быть приняты как достоверные, что </w:t>
      </w:r>
      <w:r w:rsidRPr="00B00B56">
        <w:rPr>
          <w:sz w:val="23"/>
          <w:szCs w:val="23"/>
        </w:rPr>
        <w:t>обуславливает необходимость определения количества потребления газа не по показаниям счетчика, а по нормативам потребления.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соответствии с п. 1 ст. 9 Федерального закона от 26.26.2008 г. N 102-ФЗ "Об обеспечении единства измерений", в сфере государственн</w:t>
      </w:r>
      <w:r w:rsidRPr="00B00B56">
        <w:rPr>
          <w:sz w:val="23"/>
          <w:szCs w:val="23"/>
        </w:rPr>
        <w:t>ого регулирования обеспечения единства измерений к применению допускаются средства измерений утвержденного типа, прошедшие поверку в соответствии с положениями настоящего Федерального закона, а также обеспечивающие соблюдение установленных законодательство</w:t>
      </w:r>
      <w:r w:rsidRPr="00B00B56">
        <w:rPr>
          <w:sz w:val="23"/>
          <w:szCs w:val="23"/>
        </w:rPr>
        <w:t>м Российской Федерации об обеспечении единства измерений обязательных требований, включая обязательные метрологические требования к измерениям, обязательные метрологические и технические требования к средствам измерений, и установленных законодательством Р</w:t>
      </w:r>
      <w:r w:rsidRPr="00B00B56">
        <w:rPr>
          <w:sz w:val="23"/>
          <w:szCs w:val="23"/>
        </w:rPr>
        <w:t>оссийской Федерации о техническом регулировании обязательных требований. В состав обязательных требований к средствам измерений в необходимых случаях включаются также требования к их составным частям, программному обеспечению и условиям эксплуатации средст</w:t>
      </w:r>
      <w:r w:rsidRPr="00B00B56">
        <w:rPr>
          <w:sz w:val="23"/>
          <w:szCs w:val="23"/>
        </w:rPr>
        <w:t>в измерений. При применении средств измерений должны соблюдаться обязательные требования к условиям их эксплуатации.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силу п. 1 ст. 13 указанного Закона, средства измерений, предназначенные для применения в сфере государственного регулирования обеспечения</w:t>
      </w:r>
      <w:r w:rsidRPr="00B00B56">
        <w:rPr>
          <w:sz w:val="23"/>
          <w:szCs w:val="23"/>
        </w:rPr>
        <w:t xml:space="preserve"> единства измерений, до ввода в эксплуатацию, а также после ремонта подлежат первичной поверке, а в процессе эксплуатации - периодической поверке. Применяющие средства измерений в сфере государственного регулирования обеспечения единства измерений юридичес</w:t>
      </w:r>
      <w:r w:rsidRPr="00B00B56">
        <w:rPr>
          <w:sz w:val="23"/>
          <w:szCs w:val="23"/>
        </w:rPr>
        <w:t>кие лица и индивидуальные предприниматели обязаны своевременно представлять эти средства измерений на поверку. В связи с чем, невозможно применять прибор учета газа, который не прошел поверку.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Согласно п. 3.12 Правил учета газа, утвержденными Минтопэнерго </w:t>
      </w:r>
      <w:r w:rsidRPr="00B00B56">
        <w:rPr>
          <w:sz w:val="23"/>
          <w:szCs w:val="23"/>
        </w:rPr>
        <w:t>РФ 14.10.1996 г., счетчики газа, используемые населением, должны быть внесены в Государственный реестр средств измерений и поверены в органах Государственной метрологической службы.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 учетом приведенных требований закона, объем газопотребления</w:t>
      </w:r>
      <w:r w:rsidRPr="00B00B56">
        <w:rPr>
          <w:sz w:val="23"/>
          <w:szCs w:val="23"/>
        </w:rPr>
        <w:t xml:space="preserve"> абонента в условиях истечения срока поверки установленного у него прибора учета должен определяться по нормативам потребления. При этом определение объема потребленного абонентом газа данным способом должно производиться с момента, когда показания прибора</w:t>
      </w:r>
      <w:r w:rsidRPr="00B00B56">
        <w:rPr>
          <w:sz w:val="23"/>
          <w:szCs w:val="23"/>
        </w:rPr>
        <w:t xml:space="preserve"> учета не могли быть приняты как достоверные, то есть со дня, следующего за последним днем срока поверки прибора учета, предусмотренного в паспорте, выданном изготовителем.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 соответствии с п. 1.7, 2.12 Правил учета газа, утвержденных Минтопэнерго РФ 14.10</w:t>
      </w:r>
      <w:r w:rsidRPr="00B00B56">
        <w:rPr>
          <w:sz w:val="23"/>
          <w:szCs w:val="23"/>
        </w:rPr>
        <w:t>.1996 г., зарегистрированного в Минюсте РФ 15.11.1996 г. N 1198 ответственность за надлежащее состояние и исправность узлов учета газа, а также их своевременную поверку несут владельцы узлов учета.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При этом, согласно ст. 210 ГК РФ доставка газового счетчик</w:t>
      </w:r>
      <w:r w:rsidRPr="00B00B56">
        <w:rPr>
          <w:sz w:val="23"/>
          <w:szCs w:val="23"/>
        </w:rPr>
        <w:t>а на поверку, затраты на поверку, а также на ремонт счетчика, его замену и возможные затраты на изменение внутридомовых газовых сетей в связи с заменой счетчика, возложены на абонента, поскольку он является собственником прибора учета газа и несет бремя ег</w:t>
      </w:r>
      <w:r w:rsidRPr="00B00B56">
        <w:rPr>
          <w:sz w:val="23"/>
          <w:szCs w:val="23"/>
        </w:rPr>
        <w:t>о содержания.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Пункт 1 Правил поставки газа для обеспечения коммунально-бытовых нужд граждан, утвержденных постановлением Правительства РФ от 21.07.2008 г. N 549 устанавливает, что настоящие Правила регламентируют отношения, возникающие при поставке газа дл</w:t>
      </w:r>
      <w:r w:rsidRPr="00B00B56">
        <w:rPr>
          <w:sz w:val="23"/>
          <w:szCs w:val="23"/>
        </w:rPr>
        <w:t>я обеспечения коммунально-бытовых нужд граждан в соответствии с договором о поставке газа, в том числе устанавливают особенности заключения, исполнения, изменения и прекращения договора, его существенные условия, а также порядок определения объема потребле</w:t>
      </w:r>
      <w:r w:rsidRPr="00B00B56">
        <w:rPr>
          <w:sz w:val="23"/>
          <w:szCs w:val="23"/>
        </w:rPr>
        <w:t>нного газа и размера платежа за него.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Законодательством РФ не предусмотрена обязанность поставщика газа предупреждать письменно о наступлении срока поверки газового счетчика и необходимости проведения поверки.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Следовательно, последствия невыполнения этой о</w:t>
      </w:r>
      <w:r w:rsidRPr="00B00B56">
        <w:rPr>
          <w:sz w:val="23"/>
          <w:szCs w:val="23"/>
        </w:rPr>
        <w:t>бязанности вне зависимости от причин, лежат на абоненте и возникают без соблюдения каких-либо дополнительных условий.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Таким образом, действия газоснабжающей компании соответствуют действующим нормам законодательства, регулирующего спорные правоотношения.</w:t>
      </w:r>
    </w:p>
    <w:p w:rsidR="00003023" w:rsidRPr="00B00B56" w:rsidP="001A3198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Р</w:t>
      </w:r>
      <w:r w:rsidRPr="00B00B56">
        <w:rPr>
          <w:sz w:val="23"/>
          <w:szCs w:val="23"/>
        </w:rPr>
        <w:t xml:space="preserve">асчет задолженности был произведен </w:t>
      </w:r>
      <w:r w:rsidRPr="00B00B56" w:rsidR="001A3198">
        <w:rPr>
          <w:sz w:val="23"/>
          <w:szCs w:val="23"/>
        </w:rPr>
        <w:t xml:space="preserve">потребителю </w:t>
      </w:r>
      <w:r w:rsidRPr="00B00B56">
        <w:rPr>
          <w:sz w:val="23"/>
          <w:szCs w:val="23"/>
        </w:rPr>
        <w:t>Сорокиной М.М. в соответствии с требованиями норм действующего законодательства, представитель ПАО «Севастопольгаз» в судебном заседании после разъяснения положений действующего гражданского процессуального за</w:t>
      </w:r>
      <w:r w:rsidRPr="00B00B56">
        <w:rPr>
          <w:sz w:val="23"/>
          <w:szCs w:val="23"/>
        </w:rPr>
        <w:t>конодательства, данный расчет поддержала, пояснила что расчет производился с учетом частичной оплаты ответчиком, с учетом постановлений управления по тарифам Правительства Севастополя № 16/19, от 17.06.2016, № 15/66 от 04.12.2015, с учетом дат сверок.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Пров</w:t>
      </w:r>
      <w:r w:rsidRPr="00B00B56">
        <w:rPr>
          <w:sz w:val="23"/>
          <w:szCs w:val="23"/>
        </w:rPr>
        <w:t>ерив представленный истцом расчет, суд приходит к выводу, что он является верным, составлен в соответствии с требованиями действующего законодательства с применением установленных нормативов потребления газа и с учетом произведенных ответчиком оплат за спо</w:t>
      </w:r>
      <w:r w:rsidRPr="00B00B56">
        <w:rPr>
          <w:sz w:val="23"/>
          <w:szCs w:val="23"/>
        </w:rPr>
        <w:t xml:space="preserve">рный период. К данным контррасчета, приведенного ответчиком, суд относиться критически, так как он рассчитан исходя из неверного толкования законодательства. 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Доводы ответчика об обязанности истца организовывать поверку, в том числе демонтаж, транспортиров</w:t>
      </w:r>
      <w:r w:rsidRPr="00B00B56">
        <w:rPr>
          <w:sz w:val="23"/>
          <w:szCs w:val="23"/>
        </w:rPr>
        <w:t>ку и монтаж, а также возложении на него вины за несвоевременную поверку газового счетчика опровергаются исследованными при рассмотрении дела материалами.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Доводы о поддельности подписи Сорокиной М.М. в договоре от 22</w:t>
      </w:r>
      <w:r w:rsidRPr="00B00B56" w:rsidR="004E7811">
        <w:rPr>
          <w:sz w:val="23"/>
          <w:szCs w:val="23"/>
        </w:rPr>
        <w:t xml:space="preserve"> декабря </w:t>
      </w:r>
      <w:r w:rsidRPr="00B00B56">
        <w:rPr>
          <w:sz w:val="23"/>
          <w:szCs w:val="23"/>
        </w:rPr>
        <w:t>2016 г</w:t>
      </w:r>
      <w:r w:rsidRPr="00B00B56" w:rsidR="004E7811">
        <w:rPr>
          <w:sz w:val="23"/>
          <w:szCs w:val="23"/>
        </w:rPr>
        <w:t>ода</w:t>
      </w:r>
      <w:r w:rsidRPr="00B00B56">
        <w:rPr>
          <w:sz w:val="23"/>
          <w:szCs w:val="23"/>
        </w:rPr>
        <w:t xml:space="preserve"> допустимыми, относимым</w:t>
      </w:r>
      <w:r w:rsidRPr="00B00B56">
        <w:rPr>
          <w:sz w:val="23"/>
          <w:szCs w:val="23"/>
        </w:rPr>
        <w:t>и доказательствами не подтверждены, являются несостоятельными.</w:t>
      </w:r>
    </w:p>
    <w:p w:rsidR="001310EA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Доводы ответчика Сорокиной М.М. о том, что </w:t>
      </w:r>
      <w:r w:rsidRPr="00B00B56" w:rsidR="0076132E">
        <w:rPr>
          <w:sz w:val="23"/>
          <w:szCs w:val="23"/>
        </w:rPr>
        <w:t xml:space="preserve">на весь спорный период </w:t>
      </w:r>
      <w:r w:rsidRPr="00B00B56">
        <w:rPr>
          <w:sz w:val="23"/>
          <w:szCs w:val="23"/>
        </w:rPr>
        <w:t xml:space="preserve">необходимо применять </w:t>
      </w:r>
      <w:r w:rsidRPr="00B00B56" w:rsidR="0076132E">
        <w:rPr>
          <w:sz w:val="23"/>
          <w:szCs w:val="23"/>
        </w:rPr>
        <w:t>нормативы, установленные Постановлением Правительства Севастополя от 28 декабря 2016 года N 1295-ПП «Об утверждении нормативов потребления коммунальных услуг для населения города Севастополя</w:t>
      </w:r>
      <w:r w:rsidRPr="00B00B56" w:rsidR="00003023">
        <w:rPr>
          <w:sz w:val="23"/>
          <w:szCs w:val="23"/>
        </w:rPr>
        <w:t>»</w:t>
      </w:r>
      <w:r w:rsidRPr="00B00B56" w:rsidR="0076132E">
        <w:rPr>
          <w:sz w:val="23"/>
          <w:szCs w:val="23"/>
        </w:rPr>
        <w:t>,</w:t>
      </w:r>
      <w:r w:rsidRPr="00B00B56" w:rsidR="00003023">
        <w:rPr>
          <w:sz w:val="23"/>
          <w:szCs w:val="23"/>
        </w:rPr>
        <w:t xml:space="preserve"> поскольку они улучшают положение потребителя,</w:t>
      </w:r>
      <w:r w:rsidRPr="00B00B56">
        <w:rPr>
          <w:sz w:val="23"/>
          <w:szCs w:val="23"/>
        </w:rPr>
        <w:t xml:space="preserve"> суд находит необоснованными и ссылки на ч. 2 ст. 54 Конституции РФ расценивает как неверное толкование Закона.</w:t>
      </w:r>
      <w:r w:rsidRPr="00B00B56" w:rsidR="0076132E">
        <w:rPr>
          <w:sz w:val="23"/>
          <w:szCs w:val="23"/>
        </w:rPr>
        <w:t xml:space="preserve"> </w:t>
      </w:r>
      <w:r w:rsidRPr="00B00B56">
        <w:rPr>
          <w:sz w:val="23"/>
          <w:szCs w:val="23"/>
        </w:rPr>
        <w:t xml:space="preserve">Расчет </w:t>
      </w:r>
      <w:r w:rsidRPr="00B00B56">
        <w:rPr>
          <w:sz w:val="23"/>
          <w:szCs w:val="23"/>
        </w:rPr>
        <w:t>задолженности истцом составлен в соответствии с действующим законодательством</w:t>
      </w:r>
      <w:r w:rsidRPr="00B00B56" w:rsidR="0076132E">
        <w:rPr>
          <w:sz w:val="23"/>
          <w:szCs w:val="23"/>
        </w:rPr>
        <w:t xml:space="preserve"> и нормативами, установленными в конкретный месяц спорного периода</w:t>
      </w:r>
      <w:r w:rsidRPr="00B00B56">
        <w:rPr>
          <w:sz w:val="23"/>
          <w:szCs w:val="23"/>
        </w:rPr>
        <w:t>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При таких обстоятельствах исковые требования о взыскании задолженности за потребленные услуги газоснабжения, ра</w:t>
      </w:r>
      <w:r w:rsidRPr="00B00B56">
        <w:rPr>
          <w:sz w:val="23"/>
          <w:szCs w:val="23"/>
        </w:rPr>
        <w:t>ссчитанной истцом по нормативу потребления газа, подлежат удовлетворению.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Поскольку суд приходит к выводу об удовлетворении иска, в соответствии со ст. 98, 101 ГПК РФ, судебные расходы, понесенные истцом, подлежат взысканию в его пользу.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Руководствуясь ст.</w:t>
      </w:r>
      <w:r w:rsidRPr="00B00B56">
        <w:rPr>
          <w:sz w:val="23"/>
          <w:szCs w:val="23"/>
        </w:rPr>
        <w:t xml:space="preserve">ст. 194-199 ГПК РФ, мировой судья - </w:t>
      </w:r>
    </w:p>
    <w:p w:rsidR="00AF71BC" w:rsidRPr="00B00B56" w:rsidP="001A3198">
      <w:pPr>
        <w:pStyle w:val="BodyText"/>
        <w:spacing w:after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ab/>
      </w:r>
    </w:p>
    <w:p w:rsidR="00AF71BC" w:rsidRPr="00B00B56" w:rsidP="001A3198">
      <w:pPr>
        <w:pStyle w:val="BodyText"/>
        <w:spacing w:after="0"/>
        <w:ind w:firstLine="567"/>
        <w:jc w:val="center"/>
        <w:rPr>
          <w:sz w:val="23"/>
          <w:szCs w:val="23"/>
        </w:rPr>
      </w:pPr>
      <w:r w:rsidRPr="00B00B56">
        <w:rPr>
          <w:sz w:val="23"/>
          <w:szCs w:val="23"/>
        </w:rPr>
        <w:t>Р Е Ш И Л:</w:t>
      </w:r>
    </w:p>
    <w:p w:rsidR="00AF71BC" w:rsidRPr="00B00B56" w:rsidP="001A3198">
      <w:pPr>
        <w:pStyle w:val="BodyText"/>
        <w:spacing w:after="0"/>
        <w:ind w:firstLine="567"/>
        <w:jc w:val="center"/>
        <w:rPr>
          <w:sz w:val="23"/>
          <w:szCs w:val="23"/>
        </w:rPr>
      </w:pP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 xml:space="preserve">Исковые требования удовлетворить.   </w:t>
      </w:r>
    </w:p>
    <w:p w:rsidR="00AF71BC" w:rsidRPr="00B00B56" w:rsidP="001A3198">
      <w:pPr>
        <w:pStyle w:val="BodyText"/>
        <w:spacing w:after="0"/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Взыскать с Сорокиной М.М.</w:t>
      </w:r>
      <w:r w:rsidRPr="00B00B56">
        <w:rPr>
          <w:sz w:val="23"/>
          <w:szCs w:val="23"/>
        </w:rPr>
        <w:t xml:space="preserve"> в пользу </w:t>
      </w:r>
      <w:r w:rsidRPr="00B00B56">
        <w:rPr>
          <w:rStyle w:val="taj"/>
          <w:sz w:val="23"/>
          <w:szCs w:val="23"/>
        </w:rPr>
        <w:t xml:space="preserve">Публичного акционерного общества по газоснабжению и газификации «Севастопольгаз» </w:t>
      </w:r>
      <w:r w:rsidRPr="00B00B56">
        <w:rPr>
          <w:sz w:val="23"/>
          <w:szCs w:val="23"/>
        </w:rPr>
        <w:t xml:space="preserve">сумму задолженности за предоставленные </w:t>
      </w:r>
      <w:r w:rsidRPr="00B00B56">
        <w:rPr>
          <w:sz w:val="23"/>
          <w:szCs w:val="23"/>
        </w:rPr>
        <w:t xml:space="preserve">услуги по газоснабжению за период с 01 апреля 2016 года по 27 апреля 2018 года в размере 3563,31 рублей, расходы по оплате госпошлины в размере 400,00 рублей, а всего 3963 рублей 31 копейки. 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Решение может быть обжаловано в Ленинский районный суд города Се</w:t>
      </w:r>
      <w:r w:rsidRPr="00B00B56">
        <w:rPr>
          <w:sz w:val="23"/>
          <w:szCs w:val="23"/>
        </w:rPr>
        <w:t>вастополя путем подачи апелляционной жалобы мировому судье Ленинского судебного района города Севастополя судебного участка №11 в течение месяца, с момента его принятия в окончательной форме.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Мотивированное решение изготовлено 07 марта 2019 года, в порядке</w:t>
      </w:r>
      <w:r w:rsidRPr="00B00B56">
        <w:rPr>
          <w:sz w:val="23"/>
          <w:szCs w:val="23"/>
        </w:rPr>
        <w:t xml:space="preserve"> ч.5 ст.199 ГПК РФ.</w:t>
      </w:r>
    </w:p>
    <w:p w:rsidR="00AF71BC" w:rsidRPr="00B00B56" w:rsidP="001A3198">
      <w:pPr>
        <w:ind w:firstLine="567"/>
        <w:jc w:val="both"/>
        <w:rPr>
          <w:sz w:val="23"/>
          <w:szCs w:val="23"/>
        </w:rPr>
      </w:pPr>
    </w:p>
    <w:p w:rsidR="00AF71BC" w:rsidRPr="00B00B56" w:rsidP="001A3198">
      <w:pPr>
        <w:ind w:firstLine="567"/>
        <w:jc w:val="both"/>
        <w:rPr>
          <w:sz w:val="23"/>
          <w:szCs w:val="23"/>
        </w:rPr>
      </w:pPr>
      <w:r w:rsidRPr="00B00B56">
        <w:rPr>
          <w:sz w:val="23"/>
          <w:szCs w:val="23"/>
        </w:rPr>
        <w:t>Мировой судья: подпись</w:t>
      </w:r>
    </w:p>
    <w:sectPr w:rsidSect="001A3198">
      <w:pgSz w:w="11906" w:h="16838"/>
      <w:pgMar w:top="709" w:right="70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B"/>
    <w:rsid w:val="00003023"/>
    <w:rsid w:val="00005EDD"/>
    <w:rsid w:val="000075B9"/>
    <w:rsid w:val="00016BEF"/>
    <w:rsid w:val="00020895"/>
    <w:rsid w:val="00037FD0"/>
    <w:rsid w:val="000A1CDE"/>
    <w:rsid w:val="000A2A64"/>
    <w:rsid w:val="000D3D93"/>
    <w:rsid w:val="000D5AB6"/>
    <w:rsid w:val="000E3FD1"/>
    <w:rsid w:val="000F1389"/>
    <w:rsid w:val="001310EA"/>
    <w:rsid w:val="00145213"/>
    <w:rsid w:val="001A3198"/>
    <w:rsid w:val="001B6E14"/>
    <w:rsid w:val="001E68D8"/>
    <w:rsid w:val="002034FF"/>
    <w:rsid w:val="002065C4"/>
    <w:rsid w:val="00215A7B"/>
    <w:rsid w:val="00221E93"/>
    <w:rsid w:val="00282F3C"/>
    <w:rsid w:val="002855F4"/>
    <w:rsid w:val="002A6C73"/>
    <w:rsid w:val="002B64C0"/>
    <w:rsid w:val="002E1180"/>
    <w:rsid w:val="002F3B73"/>
    <w:rsid w:val="00306E66"/>
    <w:rsid w:val="00312B60"/>
    <w:rsid w:val="00340322"/>
    <w:rsid w:val="003A2ECF"/>
    <w:rsid w:val="003A5E1B"/>
    <w:rsid w:val="003F571C"/>
    <w:rsid w:val="00451108"/>
    <w:rsid w:val="004A4BF1"/>
    <w:rsid w:val="004E7811"/>
    <w:rsid w:val="0050353A"/>
    <w:rsid w:val="00511F94"/>
    <w:rsid w:val="00551E52"/>
    <w:rsid w:val="005B6FA0"/>
    <w:rsid w:val="005E6E0F"/>
    <w:rsid w:val="005F1DB8"/>
    <w:rsid w:val="006D708E"/>
    <w:rsid w:val="006E5369"/>
    <w:rsid w:val="00720097"/>
    <w:rsid w:val="007337BD"/>
    <w:rsid w:val="0076132E"/>
    <w:rsid w:val="0079190A"/>
    <w:rsid w:val="007D514E"/>
    <w:rsid w:val="007F2907"/>
    <w:rsid w:val="00812C55"/>
    <w:rsid w:val="00845814"/>
    <w:rsid w:val="00866CD2"/>
    <w:rsid w:val="008861E8"/>
    <w:rsid w:val="008A7A06"/>
    <w:rsid w:val="008D33D3"/>
    <w:rsid w:val="008D7CC3"/>
    <w:rsid w:val="00920B03"/>
    <w:rsid w:val="0093329A"/>
    <w:rsid w:val="0094600D"/>
    <w:rsid w:val="00952D86"/>
    <w:rsid w:val="009C530B"/>
    <w:rsid w:val="009E6AC4"/>
    <w:rsid w:val="009F16D3"/>
    <w:rsid w:val="00A26F99"/>
    <w:rsid w:val="00A421F9"/>
    <w:rsid w:val="00A46859"/>
    <w:rsid w:val="00A64F53"/>
    <w:rsid w:val="00A82045"/>
    <w:rsid w:val="00AA1557"/>
    <w:rsid w:val="00AA6E3F"/>
    <w:rsid w:val="00AC50AD"/>
    <w:rsid w:val="00AC750F"/>
    <w:rsid w:val="00AD6B49"/>
    <w:rsid w:val="00AF71BC"/>
    <w:rsid w:val="00B00B56"/>
    <w:rsid w:val="00B238F3"/>
    <w:rsid w:val="00B25E2A"/>
    <w:rsid w:val="00B32472"/>
    <w:rsid w:val="00B55D35"/>
    <w:rsid w:val="00BB385C"/>
    <w:rsid w:val="00BB6C8E"/>
    <w:rsid w:val="00BC51F0"/>
    <w:rsid w:val="00BF10F6"/>
    <w:rsid w:val="00C41CCB"/>
    <w:rsid w:val="00C50BE4"/>
    <w:rsid w:val="00C7625D"/>
    <w:rsid w:val="00CE48AF"/>
    <w:rsid w:val="00D352CB"/>
    <w:rsid w:val="00D41F28"/>
    <w:rsid w:val="00D42BC0"/>
    <w:rsid w:val="00D437F0"/>
    <w:rsid w:val="00D73ECB"/>
    <w:rsid w:val="00D91E62"/>
    <w:rsid w:val="00DA54DA"/>
    <w:rsid w:val="00DB10F6"/>
    <w:rsid w:val="00DF5689"/>
    <w:rsid w:val="00E227D1"/>
    <w:rsid w:val="00E47A32"/>
    <w:rsid w:val="00EA07B9"/>
    <w:rsid w:val="00EA34D5"/>
    <w:rsid w:val="00ED4C87"/>
    <w:rsid w:val="00EE215B"/>
    <w:rsid w:val="00EE5E66"/>
    <w:rsid w:val="00F716DE"/>
    <w:rsid w:val="00F83085"/>
    <w:rsid w:val="00FD21F1"/>
    <w:rsid w:val="00FE2402"/>
    <w:rsid w:val="00FF5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DD87029-8771-4F62-88C1-EBCD03C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link w:val="10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DefaultParagraphFont"/>
    <w:link w:val="Heading1"/>
    <w:rsid w:val="00952D86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CE48AF"/>
    <w:pPr>
      <w:spacing w:before="100" w:beforeAutospacing="1" w:after="100" w:afterAutospacing="1"/>
    </w:pPr>
  </w:style>
  <w:style w:type="character" w:customStyle="1" w:styleId="fio7">
    <w:name w:val="fio7"/>
    <w:basedOn w:val="DefaultParagraphFont"/>
    <w:rsid w:val="00CE48AF"/>
  </w:style>
  <w:style w:type="character" w:customStyle="1" w:styleId="fio8">
    <w:name w:val="fio8"/>
    <w:basedOn w:val="DefaultParagraphFont"/>
    <w:rsid w:val="00CE48AF"/>
  </w:style>
  <w:style w:type="character" w:customStyle="1" w:styleId="address2">
    <w:name w:val="address2"/>
    <w:basedOn w:val="DefaultParagraphFont"/>
    <w:rsid w:val="00CE48AF"/>
  </w:style>
  <w:style w:type="character" w:customStyle="1" w:styleId="nomer2">
    <w:name w:val="nomer2"/>
    <w:basedOn w:val="DefaultParagraphFont"/>
    <w:rsid w:val="00CE48AF"/>
  </w:style>
  <w:style w:type="character" w:customStyle="1" w:styleId="fio9">
    <w:name w:val="fio9"/>
    <w:basedOn w:val="DefaultParagraphFont"/>
    <w:rsid w:val="00CE48AF"/>
  </w:style>
  <w:style w:type="paragraph" w:styleId="NoSpacing">
    <w:name w:val="No Spacing"/>
    <w:uiPriority w:val="1"/>
    <w:qFormat/>
    <w:rsid w:val="00B00B56"/>
    <w:rPr>
      <w:sz w:val="24"/>
      <w:szCs w:val="24"/>
    </w:rPr>
  </w:style>
  <w:style w:type="character" w:customStyle="1" w:styleId="ya-share2">
    <w:name w:val="ya-share2"/>
    <w:basedOn w:val="DefaultParagraphFont"/>
    <w:rsid w:val="00B00B56"/>
  </w:style>
  <w:style w:type="paragraph" w:styleId="BalloonText">
    <w:name w:val="Balloon Text"/>
    <w:basedOn w:val="Normal"/>
    <w:link w:val="a0"/>
    <w:semiHidden/>
    <w:unhideWhenUsed/>
    <w:rsid w:val="00B00B5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0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